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DC" w:rsidRPr="00375464" w:rsidRDefault="00A874BE" w:rsidP="009B0C9C">
      <w:pPr>
        <w:autoSpaceDE w:val="0"/>
        <w:autoSpaceDN w:val="0"/>
        <w:adjustRightInd w:val="0"/>
        <w:spacing w:line="417" w:lineRule="exact"/>
        <w:ind w:right="-20"/>
        <w:jc w:val="center"/>
        <w:rPr>
          <w:rFonts w:ascii="標楷體" w:eastAsia="標楷體" w:hAnsi="標楷體" w:cs="標楷體"/>
          <w:color w:val="000000" w:themeColor="text1"/>
          <w:spacing w:val="-20"/>
          <w:kern w:val="0"/>
          <w:sz w:val="36"/>
          <w:szCs w:val="36"/>
        </w:rPr>
      </w:pPr>
      <w:r w:rsidRPr="00375464">
        <w:rPr>
          <w:rFonts w:ascii="標楷體" w:eastAsia="標楷體" w:hAnsi="標楷體" w:cs="新細明體" w:hint="eastAsia"/>
          <w:bCs/>
          <w:color w:val="000000" w:themeColor="text1"/>
          <w:spacing w:val="-20"/>
          <w:kern w:val="0"/>
          <w:sz w:val="36"/>
          <w:szCs w:val="36"/>
        </w:rPr>
        <w:t>交通部觀光</w:t>
      </w:r>
      <w:r w:rsidR="001F3941">
        <w:rPr>
          <w:rFonts w:ascii="標楷體" w:eastAsia="標楷體" w:hAnsi="標楷體" w:cs="新細明體" w:hint="eastAsia"/>
          <w:bCs/>
          <w:color w:val="000000" w:themeColor="text1"/>
          <w:spacing w:val="-20"/>
          <w:kern w:val="0"/>
          <w:sz w:val="36"/>
          <w:szCs w:val="36"/>
        </w:rPr>
        <w:t>署</w:t>
      </w:r>
      <w:r w:rsidRPr="00375464">
        <w:rPr>
          <w:rFonts w:ascii="標楷體" w:eastAsia="標楷體" w:hAnsi="標楷體" w:cs="新細明體" w:hint="eastAsia"/>
          <w:bCs/>
          <w:color w:val="000000" w:themeColor="text1"/>
          <w:spacing w:val="-20"/>
          <w:kern w:val="0"/>
          <w:sz w:val="36"/>
          <w:szCs w:val="36"/>
        </w:rPr>
        <w:t>澎湖國家風景區管理處</w:t>
      </w:r>
      <w:r w:rsidR="00617B27" w:rsidRPr="00375464">
        <w:rPr>
          <w:rFonts w:ascii="標楷體" w:eastAsia="標楷體" w:hAnsi="標楷體" w:cs="標楷體" w:hint="eastAsia"/>
          <w:color w:val="000000" w:themeColor="text1"/>
          <w:spacing w:val="-20"/>
          <w:kern w:val="0"/>
          <w:position w:val="-2"/>
          <w:sz w:val="36"/>
          <w:szCs w:val="36"/>
        </w:rPr>
        <w:t>檔案及政府資訊開放應用須知</w:t>
      </w:r>
    </w:p>
    <w:p w:rsidR="00F42EDC" w:rsidRPr="00375464" w:rsidRDefault="00F42EDC">
      <w:pPr>
        <w:autoSpaceDE w:val="0"/>
        <w:autoSpaceDN w:val="0"/>
        <w:adjustRightInd w:val="0"/>
        <w:spacing w:before="8" w:line="190" w:lineRule="exact"/>
        <w:rPr>
          <w:rFonts w:ascii="標楷體" w:eastAsia="標楷體" w:hAnsi="Times New Roman" w:cs="標楷體"/>
          <w:color w:val="000000" w:themeColor="text1"/>
          <w:kern w:val="0"/>
          <w:sz w:val="19"/>
          <w:szCs w:val="19"/>
        </w:rPr>
      </w:pPr>
    </w:p>
    <w:p w:rsidR="00511811" w:rsidRPr="00375464" w:rsidRDefault="00511811" w:rsidP="00E22D83">
      <w:pPr>
        <w:widowControl/>
        <w:spacing w:line="500" w:lineRule="exact"/>
        <w:ind w:left="443" w:hangingChars="150" w:hanging="443"/>
        <w:jc w:val="right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日期：107.1</w:t>
      </w:r>
      <w:r w:rsidR="00145536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1</w:t>
      </w:r>
      <w:r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.</w:t>
      </w:r>
      <w:r w:rsidR="00375464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21</w:t>
      </w:r>
    </w:p>
    <w:p w:rsidR="00511811" w:rsidRPr="00375464" w:rsidRDefault="00511811" w:rsidP="00E22D83">
      <w:pPr>
        <w:widowControl/>
        <w:spacing w:line="500" w:lineRule="exact"/>
        <w:ind w:left="443" w:hangingChars="150" w:hanging="443"/>
        <w:jc w:val="right"/>
        <w:rPr>
          <w:rFonts w:ascii="標楷體" w:eastAsia="標楷體" w:hAnsi="標楷體" w:cs="新細明體"/>
          <w:color w:val="000000" w:themeColor="text1"/>
          <w:spacing w:val="15"/>
          <w:kern w:val="0"/>
          <w:sz w:val="28"/>
          <w:szCs w:val="28"/>
        </w:rPr>
      </w:pPr>
      <w:r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觀澎秘字第1070500</w:t>
      </w:r>
      <w:r w:rsidR="00375464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311</w:t>
      </w:r>
      <w:r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號函</w:t>
      </w:r>
      <w:r w:rsidR="009B0C9C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修</w:t>
      </w:r>
      <w:r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訂</w:t>
      </w:r>
      <w:r w:rsidR="00712B48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(</w:t>
      </w:r>
      <w:r w:rsidR="00DB2C12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三</w:t>
      </w:r>
      <w:r w:rsidR="00712B48" w:rsidRPr="00375464">
        <w:rPr>
          <w:rFonts w:ascii="標楷體" w:eastAsia="標楷體" w:hAnsi="標楷體" w:cs="新細明體" w:hint="eastAsia"/>
          <w:color w:val="000000" w:themeColor="text1"/>
          <w:spacing w:val="15"/>
          <w:kern w:val="0"/>
          <w:sz w:val="28"/>
          <w:szCs w:val="28"/>
        </w:rPr>
        <w:t>)</w:t>
      </w:r>
    </w:p>
    <w:p w:rsidR="00F42EDC" w:rsidRPr="00375464" w:rsidRDefault="00F42EDC">
      <w:pPr>
        <w:autoSpaceDE w:val="0"/>
        <w:autoSpaceDN w:val="0"/>
        <w:adjustRightInd w:val="0"/>
        <w:spacing w:before="2" w:line="100" w:lineRule="exact"/>
        <w:rPr>
          <w:rFonts w:ascii="標楷體" w:eastAsia="標楷體" w:hAnsi="Times New Roman" w:cs="標楷體"/>
          <w:color w:val="000000" w:themeColor="text1"/>
          <w:kern w:val="0"/>
          <w:sz w:val="10"/>
          <w:szCs w:val="10"/>
        </w:rPr>
      </w:pP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line="480" w:lineRule="exact"/>
        <w:ind w:left="709" w:right="30" w:hanging="596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一、</w:t>
      </w:r>
      <w:r w:rsidR="00B90D35" w:rsidRPr="00375464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交通部觀光</w:t>
      </w:r>
      <w:r w:rsidR="001F3941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署</w:t>
      </w:r>
      <w:bookmarkStart w:id="0" w:name="_GoBack"/>
      <w:bookmarkEnd w:id="0"/>
      <w:r w:rsidR="00B90D35" w:rsidRPr="00375464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澎湖國家風景區管理處(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下簡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稱本處</w:t>
      </w:r>
      <w:r w:rsidR="00B90D35" w:rsidRPr="00375464">
        <w:rPr>
          <w:rFonts w:ascii="標楷體" w:eastAsia="標楷體" w:hAnsi="標楷體" w:cs="新細明體" w:hint="eastAsia"/>
          <w:bCs/>
          <w:color w:val="000000" w:themeColor="text1"/>
          <w:spacing w:val="15"/>
          <w:kern w:val="0"/>
          <w:sz w:val="28"/>
          <w:szCs w:val="28"/>
        </w:rPr>
        <w:t>)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為辦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理檔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案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-22"/>
          <w:kern w:val="0"/>
          <w:sz w:val="28"/>
          <w:szCs w:val="28"/>
        </w:rPr>
        <w:t>，</w:t>
      </w:r>
      <w:r w:rsidR="00A874BE"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依據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國家發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展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委員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會檔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案管理</w:t>
      </w:r>
      <w:r w:rsidRPr="00375464">
        <w:rPr>
          <w:rFonts w:ascii="標楷體" w:eastAsia="標楷體" w:hAnsi="標楷體" w:cs="標楷體" w:hint="eastAsia"/>
          <w:color w:val="000000" w:themeColor="text1"/>
          <w:spacing w:val="-42"/>
          <w:kern w:val="0"/>
          <w:sz w:val="28"/>
          <w:szCs w:val="28"/>
        </w:rPr>
        <w:t>局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position w:val="-2"/>
          <w:sz w:val="28"/>
          <w:szCs w:val="28"/>
        </w:rPr>
        <w:t>檔案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2"/>
          <w:kern w:val="0"/>
          <w:position w:val="-2"/>
          <w:sz w:val="28"/>
          <w:szCs w:val="28"/>
        </w:rPr>
        <w:t>及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position w:val="-2"/>
          <w:sz w:val="28"/>
          <w:szCs w:val="28"/>
        </w:rPr>
        <w:t>政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2"/>
          <w:kern w:val="0"/>
          <w:position w:val="-2"/>
          <w:sz w:val="28"/>
          <w:szCs w:val="28"/>
        </w:rPr>
        <w:t>府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position w:val="-2"/>
          <w:sz w:val="28"/>
          <w:szCs w:val="28"/>
        </w:rPr>
        <w:t>資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2"/>
          <w:kern w:val="0"/>
          <w:position w:val="-2"/>
          <w:sz w:val="28"/>
          <w:szCs w:val="28"/>
        </w:rPr>
        <w:t>訊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position w:val="-2"/>
          <w:sz w:val="28"/>
          <w:szCs w:val="28"/>
        </w:rPr>
        <w:t>開放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2"/>
          <w:kern w:val="0"/>
          <w:position w:val="-2"/>
          <w:sz w:val="28"/>
          <w:szCs w:val="28"/>
        </w:rPr>
        <w:t>應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position w:val="-2"/>
          <w:sz w:val="28"/>
          <w:szCs w:val="28"/>
        </w:rPr>
        <w:t>用</w:t>
      </w:r>
      <w:r w:rsidR="00B90D35" w:rsidRPr="00375464">
        <w:rPr>
          <w:rFonts w:ascii="標楷體" w:eastAsia="標楷體" w:hAnsi="標楷體" w:cs="標楷體" w:hint="eastAsia"/>
          <w:color w:val="000000" w:themeColor="text1"/>
          <w:spacing w:val="2"/>
          <w:kern w:val="0"/>
          <w:position w:val="-2"/>
          <w:sz w:val="28"/>
          <w:szCs w:val="28"/>
        </w:rPr>
        <w:t>須</w:t>
      </w:r>
      <w:r w:rsidR="00B90D35" w:rsidRPr="00375464">
        <w:rPr>
          <w:rFonts w:ascii="標楷體" w:eastAsia="標楷體" w:hAnsi="標楷體" w:cs="標楷體" w:hint="eastAsia"/>
          <w:color w:val="000000" w:themeColor="text1"/>
          <w:kern w:val="0"/>
          <w:position w:val="-2"/>
          <w:sz w:val="28"/>
          <w:szCs w:val="28"/>
        </w:rPr>
        <w:t>知</w:t>
      </w:r>
      <w:r w:rsidRPr="00375464">
        <w:rPr>
          <w:rFonts w:ascii="標楷體" w:eastAsia="標楷體" w:hAnsi="標楷體" w:cs="標楷體" w:hint="eastAsia"/>
          <w:color w:val="000000" w:themeColor="text1"/>
          <w:spacing w:val="-19"/>
          <w:kern w:val="0"/>
          <w:sz w:val="28"/>
          <w:szCs w:val="28"/>
        </w:rPr>
        <w:t>、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政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府資訊公開法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及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行政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程序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法第四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十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六條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有關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檔案應</w:t>
      </w:r>
      <w:r w:rsidRPr="00375464">
        <w:rPr>
          <w:rFonts w:ascii="標楷體" w:eastAsia="標楷體" w:hAnsi="標楷體" w:cs="標楷體" w:hint="eastAsia"/>
          <w:color w:val="000000" w:themeColor="text1"/>
          <w:spacing w:val="-62"/>
          <w:kern w:val="0"/>
          <w:sz w:val="28"/>
          <w:szCs w:val="28"/>
        </w:rPr>
        <w:t>用、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政府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資訊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提供及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卷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宗抄</w:t>
      </w:r>
      <w:r w:rsidRPr="0037546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錄閱覽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規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定事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項，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特訂定</w:t>
      </w:r>
      <w:r w:rsidRPr="00375464">
        <w:rPr>
          <w:rFonts w:ascii="標楷體" w:eastAsia="標楷體" w:hAnsi="標楷體" w:cs="標楷體" w:hint="eastAsia"/>
          <w:color w:val="000000" w:themeColor="text1"/>
          <w:spacing w:val="-3"/>
          <w:kern w:val="0"/>
          <w:sz w:val="28"/>
          <w:szCs w:val="28"/>
        </w:rPr>
        <w:t>本</w:t>
      </w:r>
      <w:r w:rsidRPr="0037546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須知。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58" w:line="480" w:lineRule="exact"/>
        <w:ind w:left="709" w:right="49" w:hanging="596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二、申請閱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覽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、抄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錄或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複製本</w:t>
      </w:r>
      <w:r w:rsidR="00B90D35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檔案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、政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府資訊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或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卷宗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（以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下簡稱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檔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卷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142"/>
          <w:kern w:val="0"/>
          <w:sz w:val="28"/>
          <w:szCs w:val="28"/>
        </w:rPr>
        <w:t>）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，應以書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面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敘明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理由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向本</w:t>
      </w:r>
      <w:r w:rsidR="00B90D35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申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請（</w:t>
      </w:r>
      <w:r w:rsidR="00E22D83" w:rsidRPr="00375464">
        <w:rPr>
          <w:rFonts w:ascii="標楷體" w:eastAsia="標楷體" w:hAnsi="Times New Roman" w:cs="標楷體"/>
          <w:color w:val="000000" w:themeColor="text1"/>
          <w:spacing w:val="-3"/>
          <w:kern w:val="0"/>
          <w:sz w:val="28"/>
          <w:szCs w:val="28"/>
        </w:rPr>
        <w:t>檔案</w:t>
      </w:r>
      <w:r w:rsidR="0094724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及政府資訊開放</w:t>
      </w:r>
      <w:r w:rsidR="00E22D83" w:rsidRPr="00375464">
        <w:rPr>
          <w:rFonts w:ascii="標楷體" w:eastAsia="標楷體" w:hAnsi="Times New Roman" w:cs="標楷體"/>
          <w:color w:val="000000" w:themeColor="text1"/>
          <w:spacing w:val="-3"/>
          <w:kern w:val="0"/>
          <w:sz w:val="28"/>
          <w:szCs w:val="28"/>
        </w:rPr>
        <w:t>應用申請書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139"/>
          <w:kern w:val="0"/>
          <w:sz w:val="28"/>
          <w:szCs w:val="28"/>
        </w:rPr>
        <w:t>）。</w:t>
      </w:r>
      <w:r w:rsidRPr="00375464">
        <w:rPr>
          <w:rFonts w:ascii="標楷體" w:eastAsia="標楷體" w:hAnsi="Times New Roman" w:cs="標楷體"/>
          <w:color w:val="000000" w:themeColor="text1"/>
          <w:spacing w:val="-139"/>
          <w:kern w:val="0"/>
          <w:sz w:val="28"/>
          <w:szCs w:val="28"/>
        </w:rPr>
        <w:t xml:space="preserve"> 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前項申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請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書得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以親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自持送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或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以書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面通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訊方式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為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之。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三、申請案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件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之受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理，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依申請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應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用之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檔卷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性質，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由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業務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承辦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單位辦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理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。業務承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辦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單位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辦理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檔卷應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用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申請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1"/>
          <w:kern w:val="0"/>
          <w:sz w:val="28"/>
          <w:szCs w:val="28"/>
        </w:rPr>
        <w:t>案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4"/>
          <w:kern w:val="0"/>
          <w:sz w:val="28"/>
          <w:szCs w:val="28"/>
        </w:rPr>
        <w:t>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應先檢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視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申請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書內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1"/>
          <w:kern w:val="0"/>
          <w:sz w:val="28"/>
          <w:szCs w:val="28"/>
        </w:rPr>
        <w:t>容，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依規定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辦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理檢調，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並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擬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1"/>
          <w:kern w:val="0"/>
          <w:sz w:val="28"/>
          <w:szCs w:val="28"/>
        </w:rPr>
        <w:t>妥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准駁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決定函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，簽陳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本</w:t>
      </w:r>
      <w:r w:rsidR="00B90D35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權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責長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官核示。申請案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件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之准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22"/>
          <w:kern w:val="0"/>
          <w:sz w:val="28"/>
          <w:szCs w:val="28"/>
        </w:rPr>
        <w:t>駁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24"/>
          <w:kern w:val="0"/>
          <w:sz w:val="28"/>
          <w:szCs w:val="28"/>
        </w:rPr>
        <w:t>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應於收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受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申請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書之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日起十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五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日內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決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22"/>
          <w:kern w:val="0"/>
          <w:sz w:val="28"/>
          <w:szCs w:val="28"/>
        </w:rPr>
        <w:t>定；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必要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22"/>
          <w:kern w:val="0"/>
          <w:sz w:val="28"/>
          <w:szCs w:val="28"/>
        </w:rPr>
        <w:t>時，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得予延長。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但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延長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時間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不得逾</w:t>
      </w:r>
      <w:r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十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五日。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四、申請應用程序不符或要件不備，經通知補正者，申請人應於七日內補正；不能補正或逾期不補正者，逕行駁回之。</w:t>
      </w:r>
      <w:r w:rsidRPr="00375464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前點第三項收受申請書之日起十五日，於前項情形，自申請人補正之日起算。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五、申請閱覽、抄錄或複製檔卷，以複製品為原則。檔卷經電子儲存者，其應用以影像或複製品為原則。</w:t>
      </w:r>
    </w:p>
    <w:p w:rsidR="00E22D83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六、提供應用之檔卷，如其中一部分有必要限制公開，應僅就其他可公開部分提供之。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七、申請人至本</w:t>
      </w:r>
      <w:r w:rsidR="00511811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應用檔卷時，應出示准駁決定函及備有本人照片之身分證明文件，依規定完成登記程序後，始得進入本</w:t>
      </w:r>
      <w:r w:rsidR="00E22D83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指定之檔卷應用處所。申請人應用檔卷原件時，應由承辦人員陪同為之。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八、申請人進入檔卷應用處所，應注意下列事項：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-20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一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禁止飲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食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、吸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菸、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大聲喧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嘩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-20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不得破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壞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環境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整潔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-20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三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禁止攜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帶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原子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筆、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毛筆等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易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塗損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檔卷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之工具。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-20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lastRenderedPageBreak/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四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抄寫檔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卷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時，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以使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用鉛筆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、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可攜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式電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腦或可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攜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式媒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體為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限。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-20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五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禁止攜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帶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私人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物品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-20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六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禁止擅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自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接用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電源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及連接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本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局網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路系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統。</w:t>
      </w:r>
    </w:p>
    <w:p w:rsidR="00F42EDC" w:rsidRPr="00375464" w:rsidRDefault="00511811" w:rsidP="00E22D83">
      <w:pPr>
        <w:autoSpaceDE w:val="0"/>
        <w:autoSpaceDN w:val="0"/>
        <w:adjustRightInd w:val="0"/>
        <w:spacing w:line="480" w:lineRule="exact"/>
        <w:ind w:leftChars="212" w:left="1133" w:right="89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七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/>
          <w:color w:val="000000" w:themeColor="text1"/>
          <w:spacing w:val="-82"/>
          <w:kern w:val="0"/>
          <w:sz w:val="28"/>
          <w:szCs w:val="28"/>
        </w:rPr>
        <w:t xml:space="preserve"> 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本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提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供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應用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之器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材須妥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慎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維護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，不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得破壞。前項第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四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款可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攜式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電腦或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可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攜式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媒體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之使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1"/>
          <w:kern w:val="0"/>
          <w:sz w:val="28"/>
          <w:szCs w:val="28"/>
        </w:rPr>
        <w:t>用，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非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經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許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可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不得為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1"/>
          <w:kern w:val="0"/>
          <w:sz w:val="28"/>
          <w:szCs w:val="28"/>
        </w:rPr>
        <w:t>之。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其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使用應遵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守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本</w:t>
      </w:r>
      <w:r w:rsidR="00E22D83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資訊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安全政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策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相關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規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58"/>
          <w:kern w:val="0"/>
          <w:sz w:val="28"/>
          <w:szCs w:val="28"/>
        </w:rPr>
        <w:t>定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62"/>
          <w:kern w:val="0"/>
          <w:sz w:val="28"/>
          <w:szCs w:val="28"/>
        </w:rPr>
        <w:t>；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可攜式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媒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體使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用前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應經本</w:t>
      </w:r>
      <w:r w:rsidR="00E22D83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掃毒檢查。如有必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要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暫離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檔卷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應用處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所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1"/>
          <w:kern w:val="0"/>
          <w:sz w:val="28"/>
          <w:szCs w:val="28"/>
        </w:rPr>
        <w:t>者，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將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檔卷交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由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承辦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人員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保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1"/>
          <w:kern w:val="0"/>
          <w:sz w:val="28"/>
          <w:szCs w:val="28"/>
        </w:rPr>
        <w:t>管；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應用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影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像系統者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，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則應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完成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登出作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spacing w:val="-3"/>
          <w:kern w:val="0"/>
          <w:sz w:val="28"/>
          <w:szCs w:val="28"/>
        </w:rPr>
        <w:t>業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九、</w:t>
      </w:r>
      <w:r w:rsidRPr="00375464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ab/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申請人應用檔卷，應保持檔卷資料完整，不得有下列行為：</w:t>
      </w:r>
    </w:p>
    <w:p w:rsidR="00F42EDC" w:rsidRPr="00375464" w:rsidRDefault="00E22D83" w:rsidP="00E22D83">
      <w:pPr>
        <w:autoSpaceDE w:val="0"/>
        <w:autoSpaceDN w:val="0"/>
        <w:adjustRightInd w:val="0"/>
        <w:spacing w:line="480" w:lineRule="exact"/>
        <w:ind w:leftChars="212" w:left="1133" w:right="89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一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添註、塗改、更換、抽取、圈點或污損檔卷。</w:t>
      </w:r>
    </w:p>
    <w:p w:rsidR="00F42EDC" w:rsidRPr="00375464" w:rsidRDefault="00E22D83" w:rsidP="00E22D83">
      <w:pPr>
        <w:autoSpaceDE w:val="0"/>
        <w:autoSpaceDN w:val="0"/>
        <w:adjustRightInd w:val="0"/>
        <w:spacing w:line="480" w:lineRule="exact"/>
        <w:ind w:leftChars="212" w:left="1133" w:right="89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二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拆散已裝訂完成之檔卷。</w:t>
      </w:r>
    </w:p>
    <w:p w:rsidR="00F42EDC" w:rsidRPr="00375464" w:rsidRDefault="00E22D83" w:rsidP="00E22D83">
      <w:pPr>
        <w:autoSpaceDE w:val="0"/>
        <w:autoSpaceDN w:val="0"/>
        <w:adjustRightInd w:val="0"/>
        <w:spacing w:line="480" w:lineRule="exact"/>
        <w:ind w:leftChars="212" w:left="1133" w:right="89" w:hangingChars="223" w:hanging="624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(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三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)</w:t>
      </w:r>
      <w:r w:rsidR="00617B27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以其他方法破壞或變更檔卷內容。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十、</w:t>
      </w:r>
      <w:r w:rsidRPr="00375464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ab/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應用檔卷時，申請人有違反第八點及第九點所列情形者，本</w:t>
      </w:r>
      <w:r w:rsidR="00E22D83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得停止其應用，並記錄之。情節重大者，得依法論處。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十一、申請應用之檔卷，不得攜出檔卷應用處所，並應當日歸還。前項歸還，應經本</w:t>
      </w:r>
      <w:r w:rsidR="00E22D83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承辦人員點收無誤或確認登出影像系統後，始將身分證明文件交還申請人。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十二、開放應用時間為星期一至星期五，上午九時至下午</w:t>
      </w:r>
      <w:r w:rsidR="00145536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四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時。</w:t>
      </w:r>
      <w:r w:rsidRPr="00375464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例假日及國定假日不對外開放。</w:t>
      </w:r>
    </w:p>
    <w:p w:rsidR="00F42EDC" w:rsidRPr="00375464" w:rsidRDefault="00617B27" w:rsidP="00E22D83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 w:hanging="653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十三、申請閱覽、抄錄或複製檔卷之費用，申請人應依「檔案閱覽抄錄複製收</w:t>
      </w:r>
      <w:r w:rsidRPr="00375464"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  <w:t xml:space="preserve"> 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費標準」繳納之。</w:t>
      </w:r>
    </w:p>
    <w:p w:rsidR="00617B27" w:rsidRPr="00375464" w:rsidRDefault="00617B27" w:rsidP="00947247">
      <w:pPr>
        <w:tabs>
          <w:tab w:val="left" w:pos="709"/>
        </w:tabs>
        <w:autoSpaceDE w:val="0"/>
        <w:autoSpaceDN w:val="0"/>
        <w:adjustRightInd w:val="0"/>
        <w:spacing w:before="61" w:line="480" w:lineRule="exact"/>
        <w:ind w:left="709" w:right="30"/>
        <w:jc w:val="both"/>
        <w:rPr>
          <w:rFonts w:ascii="標楷體" w:eastAsia="標楷體" w:hAnsi="Times New Roman" w:cs="標楷體"/>
          <w:color w:val="000000" w:themeColor="text1"/>
          <w:kern w:val="0"/>
          <w:sz w:val="28"/>
          <w:szCs w:val="28"/>
        </w:rPr>
      </w:pP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前項之收費，本</w:t>
      </w:r>
      <w:r w:rsidR="00E22D83"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處</w:t>
      </w:r>
      <w:r w:rsidRPr="00375464">
        <w:rPr>
          <w:rFonts w:ascii="標楷體" w:eastAsia="標楷體" w:hAnsi="Times New Roman" w:cs="標楷體" w:hint="eastAsia"/>
          <w:color w:val="000000" w:themeColor="text1"/>
          <w:kern w:val="0"/>
          <w:sz w:val="28"/>
          <w:szCs w:val="28"/>
        </w:rPr>
        <w:t>應開立收據交付申請人。</w:t>
      </w:r>
    </w:p>
    <w:sectPr w:rsidR="00617B27" w:rsidRPr="00375464">
      <w:footerReference w:type="default" r:id="rId6"/>
      <w:pgSz w:w="11920" w:h="16840"/>
      <w:pgMar w:top="1260" w:right="1020" w:bottom="1180" w:left="1020" w:header="0" w:footer="967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22" w:rsidRDefault="009B1922">
      <w:r>
        <w:separator/>
      </w:r>
    </w:p>
  </w:endnote>
  <w:endnote w:type="continuationSeparator" w:id="0">
    <w:p w:rsidR="009B1922" w:rsidRDefault="009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EDC" w:rsidRDefault="00B90D35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3723005</wp:posOffset>
              </wp:positionH>
              <wp:positionV relativeFrom="page">
                <wp:posOffset>9918065</wp:posOffset>
              </wp:positionV>
              <wp:extent cx="113665" cy="15176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2EDC" w:rsidRDefault="00617B27">
                          <w:pPr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40" w:right="-20"/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B1922">
                            <w:rPr>
                              <w:rFonts w:ascii="Times New Roman" w:hAnsi="Times New Roman" w:cs="Times New Roman"/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15pt;margin-top:780.95pt;width:8.9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ugqg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" o:allowincell="f" filled="f" stroked="f">
              <v:textbox inset="0,0,0,0">
                <w:txbxContent>
                  <w:p w:rsidR="00F42EDC" w:rsidRDefault="00617B27">
                    <w:pPr>
                      <w:autoSpaceDE w:val="0"/>
                      <w:autoSpaceDN w:val="0"/>
                      <w:adjustRightInd w:val="0"/>
                      <w:spacing w:line="224" w:lineRule="exact"/>
                      <w:ind w:left="40" w:right="-20"/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9B1922">
                      <w:rPr>
                        <w:rFonts w:ascii="Times New Roman" w:hAnsi="Times New Roman" w:cs="Times New Roman"/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22" w:rsidRDefault="009B1922">
      <w:r>
        <w:separator/>
      </w:r>
    </w:p>
  </w:footnote>
  <w:footnote w:type="continuationSeparator" w:id="0">
    <w:p w:rsidR="009B1922" w:rsidRDefault="009B1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E"/>
    <w:rsid w:val="00104CB8"/>
    <w:rsid w:val="00145536"/>
    <w:rsid w:val="001F3941"/>
    <w:rsid w:val="00297403"/>
    <w:rsid w:val="00375464"/>
    <w:rsid w:val="003D6ED5"/>
    <w:rsid w:val="00511811"/>
    <w:rsid w:val="00617B27"/>
    <w:rsid w:val="006F0A28"/>
    <w:rsid w:val="00712B48"/>
    <w:rsid w:val="00947247"/>
    <w:rsid w:val="009B0C9C"/>
    <w:rsid w:val="009B1922"/>
    <w:rsid w:val="00A874BE"/>
    <w:rsid w:val="00B90D35"/>
    <w:rsid w:val="00CF024B"/>
    <w:rsid w:val="00DB2C12"/>
    <w:rsid w:val="00E22D83"/>
    <w:rsid w:val="00E77E8D"/>
    <w:rsid w:val="00F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C7655F1-EAE1-4B91-9E14-367DD9E9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55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5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檔案管理局檔案及政府資訊開放應用須知</dc:title>
  <dc:creator>600150_楊宗儀</dc:creator>
  <cp:lastModifiedBy>鄭玉淨</cp:lastModifiedBy>
  <cp:revision>2</cp:revision>
  <dcterms:created xsi:type="dcterms:W3CDTF">2023-08-01T06:45:00Z</dcterms:created>
  <dcterms:modified xsi:type="dcterms:W3CDTF">2023-08-01T06:45:00Z</dcterms:modified>
</cp:coreProperties>
</file>