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E8" w:rsidRDefault="009565E8">
      <w:pPr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</w:p>
    <w:p w:rsidR="009565E8" w:rsidRDefault="00F7305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【交通部觀光局雲嘉南濱海國家風景區管理處新聞稿】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發稿日期</w:t>
      </w:r>
      <w:r>
        <w:rPr>
          <w:rFonts w:ascii="標楷體" w:eastAsia="標楷體" w:hAnsi="標楷體" w:cs="標楷體"/>
          <w:sz w:val="28"/>
          <w:szCs w:val="28"/>
        </w:rPr>
        <w:t>:111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發稿單位：交通部觀光局雲嘉南濱海國家風景區管理處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新聞聯絡人：洪副處長肇昌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>06-7861000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113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新聞聯絡人：陳課長廷伊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>06-7861000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210</w:t>
      </w:r>
    </w:p>
    <w:p w:rsidR="009565E8" w:rsidRDefault="00F7305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文稿主旨：</w:t>
      </w:r>
    </w:p>
    <w:p w:rsidR="009565E8" w:rsidRDefault="009565E8">
      <w:pPr>
        <w:rPr>
          <w:rFonts w:ascii="標楷體" w:eastAsia="標楷體" w:hAnsi="標楷體" w:cs="標楷體"/>
        </w:rPr>
      </w:pPr>
    </w:p>
    <w:p w:rsidR="009565E8" w:rsidRDefault="00F7305C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雲嘉南濱海國家風景區管理處榮獲「亞太永續行動獎」金獎及「台灣永續行動獎」銅獎</w:t>
      </w:r>
    </w:p>
    <w:p w:rsidR="009565E8" w:rsidRDefault="00F730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6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交通部觀光局雲嘉南濱海國家風景區管理處（以下簡稱雲嘉南管理處）以「</w:t>
      </w:r>
      <w:r>
        <w:rPr>
          <w:rFonts w:ascii="標楷體" w:eastAsia="標楷體" w:hAnsi="標楷體" w:cs="標楷體"/>
          <w:sz w:val="28"/>
          <w:szCs w:val="28"/>
        </w:rPr>
        <w:t>Sunsets over Salt Fields – Traditional Industries and Sustainable Tourism Along the Southwest Coast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夕照雲嘉南，鹽白晶旅程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從地方產業建構區域觀光的永續發展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獲得首屆「亞太永續行動獎」金獎，及以「守護雲嘉南，從鹽開始」榮獲「台灣永續行動獎」銅獎等雙獎項，今日</w:t>
      </w:r>
      <w:r>
        <w:rPr>
          <w:rFonts w:ascii="標楷體" w:eastAsia="標楷體" w:hAnsi="標楷體" w:cs="標楷體"/>
          <w:sz w:val="28"/>
          <w:szCs w:val="28"/>
        </w:rPr>
        <w:t>(8/12)</w:t>
      </w:r>
      <w:r>
        <w:rPr>
          <w:rFonts w:ascii="標楷體" w:eastAsia="標楷體" w:hAnsi="標楷體" w:cs="標楷體"/>
          <w:sz w:val="28"/>
          <w:szCs w:val="28"/>
        </w:rPr>
        <w:t>於台北世貿一館「</w:t>
      </w:r>
      <w:r>
        <w:rPr>
          <w:rFonts w:ascii="標楷體" w:eastAsia="標楷體" w:hAnsi="標楷體" w:cs="標楷體"/>
          <w:sz w:val="28"/>
          <w:szCs w:val="28"/>
        </w:rPr>
        <w:t>2022</w:t>
      </w:r>
      <w:r>
        <w:rPr>
          <w:rFonts w:ascii="標楷體" w:eastAsia="標楷體" w:hAnsi="標楷體" w:cs="標楷體"/>
          <w:sz w:val="28"/>
          <w:szCs w:val="28"/>
        </w:rPr>
        <w:t>亞太永續行動博覽會」授獎，</w:t>
      </w:r>
      <w:r>
        <w:rPr>
          <w:rFonts w:ascii="標楷體" w:eastAsia="標楷體" w:hAnsi="標楷體" w:cs="標楷體"/>
          <w:sz w:val="28"/>
          <w:szCs w:val="28"/>
        </w:rPr>
        <w:t>顯示</w:t>
      </w:r>
      <w:r>
        <w:rPr>
          <w:rFonts w:ascii="標楷體" w:eastAsia="標楷體" w:hAnsi="標楷體" w:cs="標楷體"/>
          <w:sz w:val="28"/>
          <w:szCs w:val="28"/>
        </w:rPr>
        <w:t>雲嘉南管理處推廣永續</w:t>
      </w:r>
      <w:r>
        <w:rPr>
          <w:rFonts w:ascii="標楷體" w:eastAsia="標楷體" w:hAnsi="標楷體" w:cs="標楷體"/>
          <w:sz w:val="28"/>
          <w:szCs w:val="28"/>
        </w:rPr>
        <w:t>觀光措施獲得國內外的重視，將為在疫後觀光行銷注入吸引遊客來訪的利基。</w:t>
      </w:r>
    </w:p>
    <w:p w:rsidR="009565E8" w:rsidRDefault="00F730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6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聯合國</w:t>
      </w:r>
      <w:r>
        <w:rPr>
          <w:rFonts w:ascii="標楷體" w:eastAsia="標楷體" w:hAnsi="標楷體" w:cs="標楷體"/>
          <w:sz w:val="28"/>
          <w:szCs w:val="28"/>
        </w:rPr>
        <w:t>2015</w:t>
      </w:r>
      <w:r>
        <w:rPr>
          <w:rFonts w:ascii="標楷體" w:eastAsia="標楷體" w:hAnsi="標楷體" w:cs="標楷體"/>
          <w:sz w:val="28"/>
          <w:szCs w:val="28"/>
        </w:rPr>
        <w:t>年宣布「</w:t>
      </w:r>
      <w:r>
        <w:rPr>
          <w:rFonts w:ascii="標楷體" w:eastAsia="標楷體" w:hAnsi="標楷體" w:cs="標楷體"/>
          <w:sz w:val="28"/>
          <w:szCs w:val="28"/>
        </w:rPr>
        <w:t>2030</w:t>
      </w:r>
      <w:r>
        <w:rPr>
          <w:rFonts w:ascii="標楷體" w:eastAsia="標楷體" w:hAnsi="標楷體" w:cs="標楷體"/>
          <w:sz w:val="28"/>
          <w:szCs w:val="28"/>
        </w:rPr>
        <w:t>永續發展議程（</w:t>
      </w:r>
      <w:r>
        <w:rPr>
          <w:rFonts w:ascii="標楷體" w:eastAsia="標楷體" w:hAnsi="標楷體" w:cs="標楷體"/>
          <w:sz w:val="28"/>
          <w:szCs w:val="28"/>
        </w:rPr>
        <w:t>Agenda 2030</w:t>
      </w:r>
      <w:r>
        <w:rPr>
          <w:rFonts w:ascii="標楷體" w:eastAsia="標楷體" w:hAnsi="標楷體" w:cs="標楷體"/>
          <w:sz w:val="28"/>
          <w:szCs w:val="28"/>
        </w:rPr>
        <w:t>）」並通過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/>
          <w:sz w:val="28"/>
          <w:szCs w:val="28"/>
        </w:rPr>
        <w:t>項永續發展目標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Sustainable Development Goals, SDGs</w:t>
      </w:r>
      <w:r>
        <w:rPr>
          <w:rFonts w:ascii="標楷體" w:eastAsia="標楷體" w:hAnsi="標楷體" w:cs="標楷體"/>
          <w:sz w:val="28"/>
          <w:szCs w:val="28"/>
        </w:rPr>
        <w:t>），明確擘劃全球未來</w:t>
      </w:r>
      <w:r>
        <w:rPr>
          <w:rFonts w:ascii="標楷體" w:eastAsia="標楷體" w:hAnsi="標楷體" w:cs="標楷體"/>
          <w:sz w:val="28"/>
          <w:szCs w:val="28"/>
        </w:rPr>
        <w:t>2016-2030</w:t>
      </w:r>
      <w:r>
        <w:rPr>
          <w:rFonts w:ascii="標楷體" w:eastAsia="標楷體" w:hAnsi="標楷體" w:cs="標楷體"/>
          <w:sz w:val="28"/>
          <w:szCs w:val="28"/>
        </w:rPr>
        <w:t>年間之努力方向。台灣企業永續學院及財團法人台灣永續能源研究基金會除主力的「</w:t>
      </w:r>
      <w:r>
        <w:rPr>
          <w:rFonts w:ascii="標楷體" w:eastAsia="標楷體" w:hAnsi="標楷體" w:cs="標楷體"/>
          <w:sz w:val="28"/>
          <w:szCs w:val="28"/>
        </w:rPr>
        <w:t>TCSA</w:t>
      </w:r>
      <w:r>
        <w:rPr>
          <w:rFonts w:ascii="標楷體" w:eastAsia="標楷體" w:hAnsi="標楷體" w:cs="標楷體"/>
          <w:sz w:val="28"/>
          <w:szCs w:val="28"/>
        </w:rPr>
        <w:t>台灣企業永續獎」外，為充分展現亞太</w:t>
      </w:r>
      <w:r>
        <w:rPr>
          <w:rFonts w:ascii="標楷體" w:eastAsia="標楷體" w:hAnsi="標楷體" w:cs="標楷體"/>
          <w:sz w:val="28"/>
          <w:szCs w:val="28"/>
        </w:rPr>
        <w:lastRenderedPageBreak/>
        <w:t>地區及台灣推動永續發展之豐沛活力，今年舉辦首屆亞太永續行動獎及第二屆台灣永續行動獎，表揚各界在實踐永續發展、</w:t>
      </w:r>
      <w:r>
        <w:rPr>
          <w:rFonts w:ascii="標楷體" w:eastAsia="標楷體" w:hAnsi="標楷體" w:cs="標楷體"/>
          <w:sz w:val="28"/>
          <w:szCs w:val="28"/>
        </w:rPr>
        <w:t>ESG</w:t>
      </w:r>
      <w:r>
        <w:rPr>
          <w:rFonts w:ascii="標楷體" w:eastAsia="標楷體" w:hAnsi="標楷體" w:cs="標楷體"/>
          <w:sz w:val="28"/>
          <w:szCs w:val="28"/>
        </w:rPr>
        <w:t>投資及</w:t>
      </w:r>
      <w:r>
        <w:rPr>
          <w:rFonts w:ascii="標楷體" w:eastAsia="標楷體" w:hAnsi="標楷體" w:cs="標楷體"/>
          <w:sz w:val="28"/>
          <w:szCs w:val="28"/>
        </w:rPr>
        <w:t>聯合國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/>
          <w:sz w:val="28"/>
          <w:szCs w:val="28"/>
        </w:rPr>
        <w:t>項永續發展目標之卓越成果及貢獻，並依參獎內容區分環境永續、社會共榮及經濟發展三大面向。</w:t>
      </w:r>
    </w:p>
    <w:p w:rsidR="009565E8" w:rsidRDefault="00F730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6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雲嘉南管理處今（</w:t>
      </w:r>
      <w:r>
        <w:rPr>
          <w:rFonts w:ascii="標楷體" w:eastAsia="標楷體" w:hAnsi="標楷體" w:cs="標楷體"/>
          <w:sz w:val="28"/>
          <w:szCs w:val="28"/>
        </w:rPr>
        <w:t>2022</w:t>
      </w:r>
      <w:r>
        <w:rPr>
          <w:rFonts w:ascii="標楷體" w:eastAsia="標楷體" w:hAnsi="標楷體" w:cs="標楷體"/>
          <w:sz w:val="28"/>
          <w:szCs w:val="28"/>
        </w:rPr>
        <w:t>）年以「</w:t>
      </w:r>
      <w:r>
        <w:rPr>
          <w:rFonts w:ascii="標楷體" w:eastAsia="標楷體" w:hAnsi="標楷體" w:cs="標楷體"/>
          <w:sz w:val="28"/>
          <w:szCs w:val="28"/>
        </w:rPr>
        <w:t>Sunsets over Salt Fields – Traditional Industries and Sustainable Tourism Along the Southwest Coast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夕照雲嘉南，鹽白晶旅程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從地方產業建構區域觀光的永續發展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及「守護雲嘉南，從鹽開始」兩案例分別報名參加「亞太永續行動獎」及「台灣永續行動獎」之社會共榮面向。雲嘉南濱海風景區內擁有極</w:t>
      </w:r>
      <w:r>
        <w:rPr>
          <w:rFonts w:ascii="標楷體" w:eastAsia="標楷體" w:hAnsi="標楷體" w:cs="標楷體"/>
          <w:sz w:val="28"/>
          <w:szCs w:val="28"/>
        </w:rPr>
        <w:t>長的海岸線，且具有沙洲、潟湖等特殊海岸及濕地地形景觀，衍生出製鹽、養殖等相關產業蓬勃發展，隨著天然日曬鹽於</w:t>
      </w:r>
      <w:r>
        <w:rPr>
          <w:rFonts w:ascii="標楷體" w:eastAsia="標楷體" w:hAnsi="標楷體" w:cs="標楷體"/>
          <w:sz w:val="28"/>
          <w:szCs w:val="28"/>
        </w:rPr>
        <w:t>2000</w:t>
      </w:r>
      <w:r>
        <w:rPr>
          <w:rFonts w:ascii="標楷體" w:eastAsia="標楷體" w:hAnsi="標楷體" w:cs="標楷體"/>
          <w:sz w:val="28"/>
          <w:szCs w:val="28"/>
        </w:rPr>
        <w:t>年結束生產，留下許多深具歷史價值的人文地景。臺南市井仔腳瓦盤鹽田是現存臺灣最古老的鹽田，至今已有</w:t>
      </w:r>
      <w:r>
        <w:rPr>
          <w:rFonts w:ascii="標楷體" w:eastAsia="標楷體" w:hAnsi="標楷體" w:cs="標楷體"/>
          <w:sz w:val="28"/>
          <w:szCs w:val="28"/>
        </w:rPr>
        <w:t>200</w:t>
      </w:r>
      <w:r>
        <w:rPr>
          <w:rFonts w:ascii="標楷體" w:eastAsia="標楷體" w:hAnsi="標楷體" w:cs="標楷體"/>
          <w:sz w:val="28"/>
          <w:szCs w:val="28"/>
        </w:rPr>
        <w:t>多年歷史，鹽田廢曬後，台南市政府於</w:t>
      </w:r>
      <w:r>
        <w:rPr>
          <w:rFonts w:ascii="標楷體" w:eastAsia="標楷體" w:hAnsi="標楷體" w:cs="標楷體"/>
          <w:sz w:val="28"/>
          <w:szCs w:val="28"/>
        </w:rPr>
        <w:t>2003</w:t>
      </w:r>
      <w:r>
        <w:rPr>
          <w:rFonts w:ascii="標楷體" w:eastAsia="標楷體" w:hAnsi="標楷體" w:cs="標楷體"/>
          <w:sz w:val="28"/>
          <w:szCs w:val="28"/>
        </w:rPr>
        <w:t>年依傳統工法復育鹽田，並於</w:t>
      </w:r>
      <w:r>
        <w:rPr>
          <w:rFonts w:ascii="標楷體" w:eastAsia="標楷體" w:hAnsi="標楷體" w:cs="標楷體"/>
          <w:sz w:val="28"/>
          <w:szCs w:val="28"/>
        </w:rPr>
        <w:t>2009</w:t>
      </w:r>
      <w:r>
        <w:rPr>
          <w:rFonts w:ascii="標楷體" w:eastAsia="標楷體" w:hAnsi="標楷體" w:cs="標楷體"/>
          <w:sz w:val="28"/>
          <w:szCs w:val="28"/>
        </w:rPr>
        <w:t>年公告為設歷史建築。雲嘉南管理處從北門井仔腳瓦盤鹽田出發，將過往在地賴以為生的製鹽業轉型朝休閒觀光發展，結合</w:t>
      </w:r>
      <w:r>
        <w:rPr>
          <w:rFonts w:ascii="標楷體" w:eastAsia="標楷體" w:hAnsi="標楷體" w:cs="標楷體"/>
          <w:sz w:val="28"/>
          <w:szCs w:val="28"/>
        </w:rPr>
        <w:t>SDGs</w:t>
      </w:r>
      <w:r>
        <w:rPr>
          <w:rFonts w:ascii="標楷體" w:eastAsia="標楷體" w:hAnsi="標楷體" w:cs="標楷體"/>
          <w:sz w:val="28"/>
          <w:szCs w:val="28"/>
        </w:rPr>
        <w:t>推廣綠色運具之低碳旅遊，改善轄區自行車道服務環境、辦理雲嘉南自行</w:t>
      </w:r>
      <w:r>
        <w:rPr>
          <w:rFonts w:ascii="標楷體" w:eastAsia="標楷體" w:hAnsi="標楷體" w:cs="標楷體"/>
          <w:sz w:val="28"/>
          <w:szCs w:val="28"/>
        </w:rPr>
        <w:lastRenderedPageBreak/>
        <w:t>車領騎達人培訓及自行車慢遊活動等友善環境</w:t>
      </w:r>
      <w:r>
        <w:rPr>
          <w:rFonts w:ascii="標楷體" w:eastAsia="標楷體" w:hAnsi="標楷體" w:cs="標楷體"/>
          <w:sz w:val="28"/>
          <w:szCs w:val="28"/>
        </w:rPr>
        <w:t>行動，並透過產業觀光主題的設計、在地文化導覽解說及環境教育場域設置，外地遊客到訪後口耳相傳情況下，讓在地居民體認自有文化的珍貴，開始重視文化傳承。也因應國際旅遊市場發展趨勢，積極進行轄區內資源系統規劃利用，把製鹽流程與環境教育結合，與在地社區及相關單位分工，逐步擴大雲嘉南的永續行動並創造出觀光旅遊的特殊性。</w:t>
      </w:r>
    </w:p>
    <w:p w:rsidR="009565E8" w:rsidRDefault="00F730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6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更多雲嘉南風景區景點可至雲嘉南管理處官網（</w:t>
      </w:r>
      <w:r>
        <w:rPr>
          <w:rFonts w:ascii="標楷體" w:eastAsia="標楷體" w:hAnsi="標楷體" w:cs="標楷體"/>
          <w:sz w:val="28"/>
          <w:szCs w:val="28"/>
        </w:rPr>
        <w:t>https://swcoast-nsa.travel/</w:t>
      </w:r>
      <w:r>
        <w:rPr>
          <w:rFonts w:ascii="標楷體" w:eastAsia="標楷體" w:hAnsi="標楷體" w:cs="標楷體"/>
          <w:sz w:val="28"/>
          <w:szCs w:val="28"/>
        </w:rPr>
        <w:t>）或「雲嘉南，好好玩</w:t>
      </w:r>
      <w:r>
        <w:rPr>
          <w:rFonts w:ascii="標楷體" w:eastAsia="標楷體" w:hAnsi="標楷體" w:cs="標楷體"/>
          <w:sz w:val="28"/>
          <w:szCs w:val="28"/>
        </w:rPr>
        <w:t>!!!</w:t>
      </w:r>
      <w:r>
        <w:rPr>
          <w:rFonts w:ascii="標楷體" w:eastAsia="標楷體" w:hAnsi="標楷體" w:cs="標楷體"/>
          <w:sz w:val="28"/>
          <w:szCs w:val="28"/>
        </w:rPr>
        <w:t>」臉書粉絲專頁查詢。</w:t>
      </w:r>
    </w:p>
    <w:p w:rsidR="009565E8" w:rsidRDefault="009565E8">
      <w:pPr>
        <w:widowControl/>
        <w:spacing w:after="45"/>
        <w:jc w:val="both"/>
        <w:rPr>
          <w:rFonts w:ascii="標楷體" w:eastAsia="標楷體" w:hAnsi="標楷體" w:cs="標楷體"/>
          <w:sz w:val="30"/>
          <w:szCs w:val="30"/>
          <w:u w:val="single"/>
        </w:rPr>
      </w:pPr>
    </w:p>
    <w:p w:rsidR="009565E8" w:rsidRDefault="009565E8">
      <w:pPr>
        <w:widowControl/>
        <w:spacing w:after="45"/>
        <w:jc w:val="both"/>
        <w:rPr>
          <w:rFonts w:ascii="標楷體" w:eastAsia="標楷體" w:hAnsi="標楷體" w:cs="標楷體" w:hint="eastAsia"/>
          <w:sz w:val="30"/>
          <w:szCs w:val="30"/>
          <w:u w:val="single"/>
        </w:rPr>
      </w:pPr>
      <w:bookmarkStart w:id="1" w:name="_GoBack"/>
      <w:bookmarkEnd w:id="1"/>
    </w:p>
    <w:sectPr w:rsidR="009565E8">
      <w:pgSz w:w="11900" w:h="16840"/>
      <w:pgMar w:top="85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5C" w:rsidRDefault="00F7305C" w:rsidP="00F7305C">
      <w:r>
        <w:separator/>
      </w:r>
    </w:p>
  </w:endnote>
  <w:endnote w:type="continuationSeparator" w:id="0">
    <w:p w:rsidR="00F7305C" w:rsidRDefault="00F7305C" w:rsidP="00F7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DFLiHeiStd-W5-Identity-H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5C" w:rsidRDefault="00F7305C" w:rsidP="00F7305C">
      <w:r>
        <w:separator/>
      </w:r>
    </w:p>
  </w:footnote>
  <w:footnote w:type="continuationSeparator" w:id="0">
    <w:p w:rsidR="00F7305C" w:rsidRDefault="00F7305C" w:rsidP="00F7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8"/>
    <w:rsid w:val="009565E8"/>
    <w:rsid w:val="00F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680AA"/>
  <w15:docId w15:val="{094D2AAE-90F0-41DA-A651-27C1F042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Theme="minorEastAsia" w:hAnsi="Arimo" w:cs="Arimo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element-invisible">
    <w:name w:val="element-invisible"/>
    <w:basedOn w:val="a0"/>
    <w:rsid w:val="007A783D"/>
  </w:style>
  <w:style w:type="paragraph" w:styleId="a6">
    <w:name w:val="header"/>
    <w:basedOn w:val="a"/>
    <w:link w:val="a7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1E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290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Plain Text"/>
    <w:basedOn w:val="a"/>
    <w:link w:val="ad"/>
    <w:uiPriority w:val="99"/>
    <w:unhideWhenUsed/>
    <w:rsid w:val="00CC2C55"/>
    <w:rPr>
      <w:rFonts w:ascii="Calibri" w:eastAsia="新細明體" w:hAnsi="Courier New" w:cs="Courier New"/>
      <w:color w:val="auto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純文字 字元"/>
    <w:basedOn w:val="a0"/>
    <w:link w:val="ac"/>
    <w:uiPriority w:val="99"/>
    <w:rsid w:val="00CC2C55"/>
    <w:rPr>
      <w:rFonts w:ascii="Calibri" w:eastAsia="新細明體" w:hAnsi="Courier New" w:cs="Courier New"/>
      <w:kern w:val="2"/>
      <w:sz w:val="24"/>
      <w:szCs w:val="22"/>
      <w:bdr w:val="none" w:sz="0" w:space="0" w:color="auto"/>
    </w:rPr>
  </w:style>
  <w:style w:type="character" w:customStyle="1" w:styleId="fontstyle01">
    <w:name w:val="fontstyle01"/>
    <w:basedOn w:val="a0"/>
    <w:rsid w:val="00CC2C55"/>
    <w:rPr>
      <w:rFonts w:ascii="DFLiHeiStd-W5-Identity-H" w:hAnsi="DFLiHeiStd-W5-Identity-H" w:hint="default"/>
      <w:b w:val="0"/>
      <w:bCs w:val="0"/>
      <w:i w:val="0"/>
      <w:iCs w:val="0"/>
      <w:color w:val="705480"/>
      <w:sz w:val="18"/>
      <w:szCs w:val="18"/>
    </w:rPr>
  </w:style>
  <w:style w:type="paragraph" w:customStyle="1" w:styleId="Default">
    <w:name w:val="Default"/>
    <w:rsid w:val="00216B35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styleId="ae">
    <w:name w:val="Strong"/>
    <w:basedOn w:val="a0"/>
    <w:uiPriority w:val="22"/>
    <w:qFormat/>
    <w:rsid w:val="008A3569"/>
    <w:rPr>
      <w:b/>
      <w:bCs/>
    </w:rPr>
  </w:style>
  <w:style w:type="character" w:styleId="af">
    <w:name w:val="Emphasis"/>
    <w:basedOn w:val="a0"/>
    <w:uiPriority w:val="20"/>
    <w:qFormat/>
    <w:rsid w:val="00DF02F3"/>
    <w:rPr>
      <w:i/>
      <w:iCs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Regular"/>
        <a:ea typeface="細明體"/>
        <a:cs typeface="PingFang TC Regular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S88v58OYRoOJX9thcr5pk33kg==">AMUW2mXixYRLnPz5aj+2TJAm97o63wKAb6qoi+NBBGJNzudalzH+kzJiPAK8Cf0fpBWoR6AdcvIsuwCPYgJqMbajd1V9LmM35pDeYjavNX7KdrEiEa32qOwDOZLC9oPjf2mz4sG88luO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黃渝瑄</cp:lastModifiedBy>
  <cp:revision>2</cp:revision>
  <dcterms:created xsi:type="dcterms:W3CDTF">2022-08-04T03:57:00Z</dcterms:created>
  <dcterms:modified xsi:type="dcterms:W3CDTF">2022-08-12T08:46:00Z</dcterms:modified>
</cp:coreProperties>
</file>