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BD5A7" w14:textId="77777777" w:rsidR="00A504FA" w:rsidRPr="00A504FA" w:rsidRDefault="00A504FA" w:rsidP="00B00E8F">
      <w:pPr>
        <w:spacing w:line="500" w:lineRule="exact"/>
        <w:jc w:val="center"/>
        <w:rPr>
          <w:rFonts w:ascii="標楷體" w:eastAsia="標楷體" w:hAnsi="標楷體"/>
          <w:b/>
          <w:bCs/>
          <w:sz w:val="32"/>
          <w:szCs w:val="32"/>
        </w:rPr>
      </w:pPr>
      <w:r w:rsidRPr="00A504FA">
        <w:rPr>
          <w:rFonts w:ascii="標楷體" w:eastAsia="標楷體" w:hAnsi="標楷體" w:hint="eastAsia"/>
          <w:b/>
          <w:bCs/>
          <w:sz w:val="32"/>
          <w:szCs w:val="32"/>
        </w:rPr>
        <w:t>大鵬灣濱灣碼頭候船中心賣店出租案 投標須知</w:t>
      </w:r>
    </w:p>
    <w:p w14:paraId="745042DA" w14:textId="730BC3EA" w:rsidR="00A504FA" w:rsidRPr="00A504FA" w:rsidRDefault="00A504FA" w:rsidP="00B00E8F">
      <w:pPr>
        <w:pStyle w:val="a9"/>
        <w:numPr>
          <w:ilvl w:val="0"/>
          <w:numId w:val="1"/>
        </w:numPr>
        <w:spacing w:line="500" w:lineRule="exact"/>
        <w:ind w:left="426" w:hanging="426"/>
        <w:rPr>
          <w:rFonts w:ascii="標楷體" w:eastAsia="標楷體" w:hAnsi="標楷體"/>
          <w:sz w:val="28"/>
          <w:szCs w:val="28"/>
        </w:rPr>
      </w:pPr>
      <w:r w:rsidRPr="00A504FA">
        <w:rPr>
          <w:rFonts w:ascii="標楷體" w:eastAsia="標楷體" w:hAnsi="標楷體" w:hint="eastAsia"/>
          <w:sz w:val="28"/>
          <w:szCs w:val="28"/>
        </w:rPr>
        <w:t>招標機關及執行機關：交通部觀光署大鵬灣國家風景區管理處(以下簡</w:t>
      </w:r>
      <w:r>
        <w:rPr>
          <w:rFonts w:ascii="標楷體" w:eastAsia="標楷體" w:hAnsi="標楷體" w:hint="eastAsia"/>
          <w:sz w:val="28"/>
          <w:szCs w:val="28"/>
        </w:rPr>
        <w:t xml:space="preserve">       </w:t>
      </w:r>
      <w:r w:rsidRPr="00A504FA">
        <w:rPr>
          <w:rFonts w:ascii="標楷體" w:eastAsia="標楷體" w:hAnsi="標楷體" w:hint="eastAsia"/>
          <w:sz w:val="28"/>
          <w:szCs w:val="28"/>
        </w:rPr>
        <w:t>稱機關)</w:t>
      </w:r>
      <w:r>
        <w:rPr>
          <w:rFonts w:ascii="標楷體" w:eastAsia="標楷體" w:hAnsi="標楷體" w:hint="eastAsia"/>
          <w:sz w:val="28"/>
          <w:szCs w:val="28"/>
        </w:rPr>
        <w:t>。</w:t>
      </w:r>
    </w:p>
    <w:p w14:paraId="51564579" w14:textId="75B4121D" w:rsidR="00A504FA" w:rsidRPr="00A504FA" w:rsidRDefault="00A504FA" w:rsidP="00B00E8F">
      <w:pPr>
        <w:pStyle w:val="a9"/>
        <w:numPr>
          <w:ilvl w:val="0"/>
          <w:numId w:val="1"/>
        </w:numPr>
        <w:spacing w:line="500" w:lineRule="exact"/>
        <w:ind w:left="426" w:hanging="426"/>
        <w:rPr>
          <w:rFonts w:ascii="標楷體" w:eastAsia="標楷體" w:hAnsi="標楷體"/>
          <w:sz w:val="28"/>
          <w:szCs w:val="28"/>
        </w:rPr>
      </w:pPr>
      <w:r w:rsidRPr="00A504FA">
        <w:rPr>
          <w:rFonts w:ascii="標楷體" w:eastAsia="標楷體" w:hAnsi="標楷體" w:hint="eastAsia"/>
          <w:sz w:val="28"/>
          <w:szCs w:val="28"/>
        </w:rPr>
        <w:t>機關為「大鵬灣濱灣碼頭候船中心賣店出租案」（以下簡稱本案）之招</w:t>
      </w:r>
    </w:p>
    <w:p w14:paraId="4621A792" w14:textId="0218E3A7"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 xml:space="preserve">商，特訂定本投標須知。 </w:t>
      </w:r>
    </w:p>
    <w:p w14:paraId="142667FB"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w:t>
      </w:r>
      <w:r w:rsidRPr="00A504FA">
        <w:rPr>
          <w:rFonts w:ascii="標楷體" w:eastAsia="標楷體" w:hAnsi="標楷體" w:hint="eastAsia"/>
          <w:sz w:val="28"/>
          <w:szCs w:val="28"/>
        </w:rPr>
        <w:tab/>
        <w:t>招商目的</w:t>
      </w:r>
    </w:p>
    <w:p w14:paraId="334E9F3D" w14:textId="77777777"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    機關為有效利用所管有之濱灣碼頭候船中心，提供遊客優質旅遊服務，</w:t>
      </w:r>
      <w:r>
        <w:rPr>
          <w:rFonts w:ascii="標楷體" w:eastAsia="標楷體" w:hAnsi="標楷體" w:hint="eastAsia"/>
          <w:sz w:val="28"/>
          <w:szCs w:val="28"/>
        </w:rPr>
        <w:t xml:space="preserve"> </w:t>
      </w:r>
    </w:p>
    <w:p w14:paraId="4E86AB7E"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爰辦理本出租案，期待引入廠商創新思維，共同營造大鵬灣成為具有觀</w:t>
      </w:r>
      <w:r>
        <w:rPr>
          <w:rFonts w:ascii="標楷體" w:eastAsia="標楷體" w:hAnsi="標楷體" w:hint="eastAsia"/>
          <w:sz w:val="28"/>
          <w:szCs w:val="28"/>
        </w:rPr>
        <w:t xml:space="preserve"> </w:t>
      </w:r>
    </w:p>
    <w:p w14:paraId="206FB6CB" w14:textId="654E09E2"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 xml:space="preserve">光遊憩及休閒的全方位國家風景區。 </w:t>
      </w:r>
    </w:p>
    <w:p w14:paraId="78C43C78"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w:t>
      </w:r>
      <w:r w:rsidRPr="00A504FA">
        <w:rPr>
          <w:rFonts w:ascii="標楷體" w:eastAsia="標楷體" w:hAnsi="標楷體" w:hint="eastAsia"/>
          <w:sz w:val="28"/>
          <w:szCs w:val="28"/>
        </w:rPr>
        <w:tab/>
        <w:t>開發利用方式及法令依據</w:t>
      </w:r>
    </w:p>
    <w:p w14:paraId="33A8C519" w14:textId="77777777" w:rsidR="00A504FA" w:rsidRDefault="00A504FA" w:rsidP="00B00E8F">
      <w:pPr>
        <w:spacing w:line="500" w:lineRule="exact"/>
        <w:ind w:firstLineChars="202" w:firstLine="566"/>
        <w:rPr>
          <w:rFonts w:ascii="標楷體" w:eastAsia="標楷體" w:hAnsi="標楷體"/>
          <w:sz w:val="28"/>
          <w:szCs w:val="28"/>
        </w:rPr>
      </w:pPr>
      <w:r w:rsidRPr="00A504FA">
        <w:rPr>
          <w:rFonts w:ascii="標楷體" w:eastAsia="標楷體" w:hAnsi="標楷體" w:hint="eastAsia"/>
          <w:sz w:val="28"/>
          <w:szCs w:val="28"/>
        </w:rPr>
        <w:t>以公開標租之方式，依據「國有財產法」第28條、「國有公用不動產收</w:t>
      </w:r>
    </w:p>
    <w:p w14:paraId="1B50C6AD" w14:textId="0D41E2DC" w:rsidR="00A504FA" w:rsidRPr="00A504FA" w:rsidRDefault="00A504FA" w:rsidP="00B00E8F">
      <w:pPr>
        <w:spacing w:line="500" w:lineRule="exact"/>
        <w:ind w:firstLineChars="202" w:firstLine="566"/>
        <w:rPr>
          <w:rFonts w:ascii="標楷體" w:eastAsia="標楷體" w:hAnsi="標楷體"/>
          <w:sz w:val="28"/>
          <w:szCs w:val="28"/>
        </w:rPr>
      </w:pPr>
      <w:r w:rsidRPr="00A504FA">
        <w:rPr>
          <w:rFonts w:ascii="標楷體" w:eastAsia="標楷體" w:hAnsi="標楷體" w:hint="eastAsia"/>
          <w:sz w:val="28"/>
          <w:szCs w:val="28"/>
        </w:rPr>
        <w:t>益原則」等相關規定辦理。</w:t>
      </w:r>
    </w:p>
    <w:p w14:paraId="04E290BA"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5、</w:t>
      </w:r>
      <w:r w:rsidRPr="00A504FA">
        <w:rPr>
          <w:rFonts w:ascii="標楷體" w:eastAsia="標楷體" w:hAnsi="標楷體" w:hint="eastAsia"/>
          <w:sz w:val="28"/>
          <w:szCs w:val="28"/>
        </w:rPr>
        <w:tab/>
        <w:t>租賃場域：詳契約草案第一條規定</w:t>
      </w:r>
    </w:p>
    <w:p w14:paraId="1C1C4A32" w14:textId="77777777"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6、</w:t>
      </w:r>
      <w:r w:rsidRPr="00A504FA">
        <w:rPr>
          <w:rFonts w:ascii="標楷體" w:eastAsia="標楷體" w:hAnsi="標楷體" w:hint="eastAsia"/>
          <w:sz w:val="28"/>
          <w:szCs w:val="28"/>
        </w:rPr>
        <w:tab/>
        <w:t>租賃期間：自完成交地日起至119年12月31日止，其餘詳契約書草案</w:t>
      </w:r>
    </w:p>
    <w:p w14:paraId="02D6D3B1" w14:textId="6488BAC5"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第二條規定。</w:t>
      </w:r>
    </w:p>
    <w:p w14:paraId="0683CF8C"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7、</w:t>
      </w:r>
      <w:r w:rsidRPr="00A504FA">
        <w:rPr>
          <w:rFonts w:ascii="標楷體" w:eastAsia="標楷體" w:hAnsi="標楷體" w:hint="eastAsia"/>
          <w:sz w:val="28"/>
          <w:szCs w:val="28"/>
        </w:rPr>
        <w:tab/>
        <w:t>經營項目</w:t>
      </w:r>
    </w:p>
    <w:p w14:paraId="1BBEE10A"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（1）廠商依現有空間使用型態進行規劃營業項目，如簡易輕食或觀光遊</w:t>
      </w:r>
      <w:r>
        <w:rPr>
          <w:rFonts w:ascii="標楷體" w:eastAsia="標楷體" w:hAnsi="標楷體" w:hint="eastAsia"/>
          <w:sz w:val="28"/>
          <w:szCs w:val="28"/>
        </w:rPr>
        <w:t xml:space="preserve"> </w:t>
      </w:r>
    </w:p>
    <w:p w14:paraId="72B893B6"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憩活動相關之產品販售等服務，亦可視遊客服務需求提送營業計</w:t>
      </w:r>
    </w:p>
    <w:p w14:paraId="09BDE1B7" w14:textId="7DE4CF0A"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畫，經機關核准後，始可經營。</w:t>
      </w:r>
    </w:p>
    <w:p w14:paraId="5488E843" w14:textId="0F9030C1"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（2）其他經機關核准之項目，惟廠商仍需要符合相關法令之規定。</w:t>
      </w:r>
    </w:p>
    <w:p w14:paraId="2343252A"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8、</w:t>
      </w:r>
      <w:r w:rsidRPr="00A504FA">
        <w:rPr>
          <w:rFonts w:ascii="標楷體" w:eastAsia="標楷體" w:hAnsi="標楷體" w:hint="eastAsia"/>
          <w:sz w:val="28"/>
          <w:szCs w:val="28"/>
        </w:rPr>
        <w:tab/>
        <w:t>租金及其他相關費用計算(詳契約書草案第三條規定)</w:t>
      </w:r>
    </w:p>
    <w:p w14:paraId="61F59280" w14:textId="2D047D41"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lastRenderedPageBreak/>
        <w:t xml:space="preserve">   </w:t>
      </w:r>
      <w:r w:rsidRPr="00A504FA">
        <w:rPr>
          <w:rFonts w:ascii="標楷體" w:eastAsia="標楷體" w:hAnsi="標楷體" w:hint="eastAsia"/>
          <w:sz w:val="28"/>
          <w:szCs w:val="28"/>
        </w:rPr>
        <w:t>(1)</w:t>
      </w:r>
      <w:r w:rsidRPr="00A504FA">
        <w:rPr>
          <w:rFonts w:ascii="標楷體" w:eastAsia="標楷體" w:hAnsi="標楷體" w:hint="eastAsia"/>
          <w:sz w:val="28"/>
          <w:szCs w:val="28"/>
        </w:rPr>
        <w:tab/>
        <w:t>本案年租金採固定租金方式計算，年租金為新臺幣4萬2,000元整。</w:t>
      </w:r>
    </w:p>
    <w:p w14:paraId="250214F7" w14:textId="24B08D45"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(2)</w:t>
      </w:r>
      <w:r w:rsidRPr="00A504FA">
        <w:rPr>
          <w:rFonts w:ascii="標楷體" w:eastAsia="標楷體" w:hAnsi="標楷體" w:hint="eastAsia"/>
          <w:sz w:val="28"/>
          <w:szCs w:val="28"/>
        </w:rPr>
        <w:tab/>
      </w:r>
      <w:r w:rsidRPr="00B00E8F">
        <w:rPr>
          <w:rFonts w:ascii="標楷體" w:eastAsia="標楷體" w:hAnsi="標楷體" w:hint="eastAsia"/>
          <w:spacing w:val="-4"/>
          <w:sz w:val="28"/>
          <w:szCs w:val="28"/>
        </w:rPr>
        <w:t>俟後若有營運範圍異動，則依實際營運面積核算租金，辦理變更契</w:t>
      </w:r>
      <w:r w:rsidR="00B00E8F">
        <w:rPr>
          <w:rFonts w:ascii="標楷體" w:eastAsia="標楷體" w:hAnsi="標楷體" w:hint="eastAsia"/>
          <w:spacing w:val="-4"/>
          <w:sz w:val="28"/>
          <w:szCs w:val="28"/>
        </w:rPr>
        <w:t>約。</w:t>
      </w:r>
    </w:p>
    <w:p w14:paraId="5BEB00C0" w14:textId="41FAD478"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(3)</w:t>
      </w:r>
      <w:r w:rsidRPr="00A504FA">
        <w:rPr>
          <w:rFonts w:ascii="標楷體" w:eastAsia="標楷體" w:hAnsi="標楷體" w:hint="eastAsia"/>
          <w:sz w:val="28"/>
          <w:szCs w:val="28"/>
        </w:rPr>
        <w:tab/>
        <w:t>廠商於整備期間不予計算租金。</w:t>
      </w:r>
    </w:p>
    <w:p w14:paraId="6A7AB21F"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(4)</w:t>
      </w:r>
      <w:r w:rsidRPr="00A504FA">
        <w:rPr>
          <w:rFonts w:ascii="標楷體" w:eastAsia="標楷體" w:hAnsi="標楷體" w:hint="eastAsia"/>
          <w:sz w:val="28"/>
          <w:szCs w:val="28"/>
        </w:rPr>
        <w:tab/>
        <w:t>租賃期間(含整備期間)，廠商應負擔本案租賃營運範圍內所需之水電</w:t>
      </w:r>
    </w:p>
    <w:p w14:paraId="5260BF10"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費、因出租租賃物所生之稅捐如地價稅、房屋稅及其他費用、規費、</w:t>
      </w:r>
    </w:p>
    <w:p w14:paraId="6188A85B" w14:textId="5BC2BF0C"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保險、保全、維修、行銷、人事及廠商因違反法令繳納之罰鍰等費用。</w:t>
      </w:r>
    </w:p>
    <w:p w14:paraId="52AF8665"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9、</w:t>
      </w:r>
      <w:r w:rsidRPr="00A504FA">
        <w:rPr>
          <w:rFonts w:ascii="標楷體" w:eastAsia="標楷體" w:hAnsi="標楷體" w:hint="eastAsia"/>
          <w:sz w:val="28"/>
          <w:szCs w:val="28"/>
        </w:rPr>
        <w:tab/>
        <w:t>續約</w:t>
      </w:r>
    </w:p>
    <w:p w14:paraId="67C16E45" w14:textId="77777777" w:rsidR="00B00E8F"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契約期滿若機關仍有出租規劃需求，廠商得於契約期滿前3個月提出申</w:t>
      </w:r>
    </w:p>
    <w:p w14:paraId="32C3BAA4" w14:textId="58B774A5" w:rsidR="00A504FA" w:rsidRPr="00B00E8F" w:rsidRDefault="00B00E8F" w:rsidP="00B00E8F">
      <w:pPr>
        <w:spacing w:line="500" w:lineRule="exact"/>
        <w:rPr>
          <w:rFonts w:ascii="標楷體" w:eastAsia="標楷體" w:hAnsi="標楷體"/>
          <w:spacing w:val="-4"/>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請，</w:t>
      </w:r>
      <w:r w:rsidR="00A504FA" w:rsidRPr="00B00E8F">
        <w:rPr>
          <w:rFonts w:ascii="標楷體" w:eastAsia="標楷體" w:hAnsi="標楷體" w:hint="eastAsia"/>
          <w:spacing w:val="-8"/>
          <w:sz w:val="28"/>
          <w:szCs w:val="28"/>
        </w:rPr>
        <w:t>經機關依契約規定評鑑後續約</w:t>
      </w:r>
      <w:r w:rsidRPr="00B00E8F">
        <w:rPr>
          <w:rFonts w:ascii="標楷體" w:eastAsia="標楷體" w:hAnsi="標楷體" w:hint="eastAsia"/>
          <w:spacing w:val="-8"/>
          <w:sz w:val="28"/>
          <w:szCs w:val="28"/>
        </w:rPr>
        <w:t>；</w:t>
      </w:r>
      <w:r w:rsidR="00A504FA" w:rsidRPr="00B00E8F">
        <w:rPr>
          <w:rFonts w:ascii="標楷體" w:eastAsia="標楷體" w:hAnsi="標楷體" w:hint="eastAsia"/>
          <w:spacing w:val="-8"/>
          <w:sz w:val="28"/>
          <w:szCs w:val="28"/>
        </w:rPr>
        <w:t>有關續約評鑑方式，詳本案契約規</w:t>
      </w:r>
      <w:r w:rsidRPr="00B00E8F">
        <w:rPr>
          <w:rFonts w:ascii="標楷體" w:eastAsia="標楷體" w:hAnsi="標楷體" w:hint="eastAsia"/>
          <w:spacing w:val="-8"/>
          <w:sz w:val="28"/>
          <w:szCs w:val="28"/>
        </w:rPr>
        <w:t>定</w:t>
      </w:r>
      <w:r>
        <w:rPr>
          <w:rFonts w:ascii="標楷體" w:eastAsia="標楷體" w:hAnsi="標楷體" w:hint="eastAsia"/>
          <w:spacing w:val="-8"/>
          <w:sz w:val="28"/>
          <w:szCs w:val="28"/>
        </w:rPr>
        <w:t>。</w:t>
      </w:r>
      <w:r w:rsidRPr="00B00E8F">
        <w:rPr>
          <w:rFonts w:ascii="標楷體" w:eastAsia="標楷體" w:hAnsi="標楷體" w:hint="eastAsia"/>
          <w:spacing w:val="-4"/>
          <w:sz w:val="28"/>
          <w:szCs w:val="28"/>
        </w:rPr>
        <w:t xml:space="preserve">    </w:t>
      </w:r>
    </w:p>
    <w:p w14:paraId="26F6C826" w14:textId="27B2928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10、押標金</w:t>
      </w:r>
      <w:r>
        <w:rPr>
          <w:rFonts w:ascii="標楷體" w:eastAsia="標楷體" w:hAnsi="標楷體" w:hint="eastAsia"/>
          <w:sz w:val="28"/>
          <w:szCs w:val="28"/>
        </w:rPr>
        <w:t>:</w:t>
      </w:r>
      <w:r w:rsidRPr="00A504FA">
        <w:rPr>
          <w:rFonts w:ascii="標楷體" w:eastAsia="標楷體" w:hAnsi="標楷體" w:hint="eastAsia"/>
          <w:sz w:val="28"/>
          <w:szCs w:val="28"/>
        </w:rPr>
        <w:t>本出租案免繳押標金。</w:t>
      </w:r>
    </w:p>
    <w:p w14:paraId="64692BD9" w14:textId="08AB9C9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11、領標</w:t>
      </w:r>
    </w:p>
    <w:p w14:paraId="31C42010" w14:textId="5E87F2E3" w:rsidR="00A504FA" w:rsidRPr="002A6B51" w:rsidRDefault="00A504FA" w:rsidP="00B00E8F">
      <w:pPr>
        <w:spacing w:line="500" w:lineRule="exact"/>
        <w:rPr>
          <w:rFonts w:ascii="標楷體" w:eastAsia="標楷體" w:hAnsi="標楷體"/>
          <w:spacing w:val="-14"/>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1</w:t>
      </w:r>
      <w:r w:rsidRPr="00A504FA">
        <w:rPr>
          <w:rFonts w:ascii="標楷體" w:eastAsia="標楷體" w:hAnsi="標楷體" w:hint="eastAsia"/>
          <w:sz w:val="28"/>
          <w:szCs w:val="28"/>
        </w:rPr>
        <w:t>）領標時間：</w:t>
      </w:r>
      <w:r w:rsidRPr="002A6B51">
        <w:rPr>
          <w:rFonts w:ascii="標楷體" w:eastAsia="標楷體" w:hAnsi="標楷體" w:hint="eastAsia"/>
          <w:spacing w:val="-14"/>
          <w:sz w:val="28"/>
          <w:szCs w:val="28"/>
        </w:rPr>
        <w:t>自公告日起至115年4月</w:t>
      </w:r>
      <w:r w:rsidR="00BF333C" w:rsidRPr="002A6B51">
        <w:rPr>
          <w:rFonts w:ascii="標楷體" w:eastAsia="標楷體" w:hAnsi="標楷體" w:hint="eastAsia"/>
          <w:spacing w:val="-14"/>
          <w:sz w:val="28"/>
          <w:szCs w:val="28"/>
        </w:rPr>
        <w:t>24</w:t>
      </w:r>
      <w:r w:rsidRPr="002A6B51">
        <w:rPr>
          <w:rFonts w:ascii="標楷體" w:eastAsia="標楷體" w:hAnsi="標楷體" w:hint="eastAsia"/>
          <w:spacing w:val="-14"/>
          <w:sz w:val="28"/>
          <w:szCs w:val="28"/>
        </w:rPr>
        <w:t>日</w:t>
      </w:r>
      <w:r w:rsidRPr="002A6B51">
        <w:rPr>
          <w:rFonts w:ascii="標楷體" w:eastAsia="標楷體" w:hAnsi="標楷體"/>
          <w:spacing w:val="-14"/>
          <w:sz w:val="28"/>
          <w:szCs w:val="28"/>
        </w:rPr>
        <w:t>9</w:t>
      </w:r>
      <w:r w:rsidRPr="002A6B51">
        <w:rPr>
          <w:rFonts w:ascii="標楷體" w:eastAsia="標楷體" w:hAnsi="標楷體" w:hint="eastAsia"/>
          <w:spacing w:val="-14"/>
          <w:sz w:val="28"/>
          <w:szCs w:val="28"/>
        </w:rPr>
        <w:t>時</w:t>
      </w:r>
      <w:r w:rsidRPr="002A6B51">
        <w:rPr>
          <w:rFonts w:ascii="標楷體" w:eastAsia="標楷體" w:hAnsi="標楷體"/>
          <w:spacing w:val="-14"/>
          <w:sz w:val="28"/>
          <w:szCs w:val="28"/>
        </w:rPr>
        <w:t>0</w:t>
      </w:r>
      <w:r w:rsidR="002A6B51" w:rsidRPr="002A6B51">
        <w:rPr>
          <w:rFonts w:ascii="標楷體" w:eastAsia="標楷體" w:hAnsi="標楷體" w:hint="eastAsia"/>
          <w:spacing w:val="-14"/>
          <w:sz w:val="28"/>
          <w:szCs w:val="28"/>
        </w:rPr>
        <w:t>0</w:t>
      </w:r>
      <w:r w:rsidRPr="002A6B51">
        <w:rPr>
          <w:rFonts w:ascii="標楷體" w:eastAsia="標楷體" w:hAnsi="標楷體" w:hint="eastAsia"/>
          <w:spacing w:val="-14"/>
          <w:sz w:val="28"/>
          <w:szCs w:val="28"/>
        </w:rPr>
        <w:t>分（投標截止期限）</w:t>
      </w:r>
      <w:r w:rsidR="00B00E8F" w:rsidRPr="002A6B51">
        <w:rPr>
          <w:rFonts w:ascii="標楷體" w:eastAsia="標楷體" w:hAnsi="標楷體" w:hint="eastAsia"/>
          <w:spacing w:val="-14"/>
          <w:sz w:val="28"/>
          <w:szCs w:val="28"/>
        </w:rPr>
        <w:t xml:space="preserve">前。                </w:t>
      </w:r>
    </w:p>
    <w:p w14:paraId="0E3F9139"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（2）領標方式：請自行至機關行政資訊網下載</w:t>
      </w:r>
      <w:r>
        <w:rPr>
          <w:rFonts w:ascii="標楷體" w:eastAsia="標楷體" w:hAnsi="標楷體" w:hint="eastAsia"/>
          <w:sz w:val="28"/>
          <w:szCs w:val="28"/>
        </w:rPr>
        <w:t xml:space="preserve"> </w:t>
      </w:r>
    </w:p>
    <w:p w14:paraId="4C0EE5CC" w14:textId="2F624CF3"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(https://admin.taiwan.net.tw/dbnsa/)。</w:t>
      </w:r>
    </w:p>
    <w:p w14:paraId="7CADBAE6" w14:textId="77777777"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12、投標廠商資格及文件</w:t>
      </w:r>
    </w:p>
    <w:p w14:paraId="7786B18B"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1</w:t>
      </w:r>
      <w:r w:rsidRPr="00A504FA">
        <w:rPr>
          <w:rFonts w:ascii="標楷體" w:eastAsia="標楷體" w:hAnsi="標楷體" w:hint="eastAsia"/>
          <w:sz w:val="28"/>
          <w:szCs w:val="28"/>
        </w:rPr>
        <w:t>）廠商設立或登記之證明：需檢附如公司登記、商業登記證明或其他設</w:t>
      </w:r>
    </w:p>
    <w:p w14:paraId="3DEA3F97" w14:textId="45D8793C"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立登記、立案證明文件等合法文件影本，法人團體得附主管機關核發之登</w:t>
      </w:r>
    </w:p>
    <w:p w14:paraId="7BC75D07" w14:textId="1CAFC6A5"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記證書；廠商得以列印公開於目的事業主管機關網站之資料代之。</w:t>
      </w:r>
    </w:p>
    <w:p w14:paraId="4ADE77FD" w14:textId="77777777"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w:t>
      </w:r>
      <w:r w:rsidRPr="00A504FA">
        <w:rPr>
          <w:rFonts w:ascii="標楷體" w:eastAsia="標楷體" w:hAnsi="標楷體"/>
          <w:sz w:val="28"/>
          <w:szCs w:val="28"/>
        </w:rPr>
        <w:t>2</w:t>
      </w:r>
      <w:r w:rsidRPr="00A504FA">
        <w:rPr>
          <w:rFonts w:ascii="標楷體" w:eastAsia="標楷體" w:hAnsi="標楷體" w:hint="eastAsia"/>
          <w:sz w:val="28"/>
          <w:szCs w:val="28"/>
        </w:rPr>
        <w:t>）納稅證明：其屬營業稅繳稅證明者，為營業稅繳款書收據聯或主管稽</w:t>
      </w:r>
    </w:p>
    <w:p w14:paraId="6313966E" w14:textId="1C07D3DA"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徵機關核章之最近一期營業人銷售額與稅額申報書收執聯。廠商不及</w:t>
      </w:r>
    </w:p>
    <w:p w14:paraId="2EA28A58" w14:textId="77777777"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提出最近一期證明者，得以前一期之納稅證明代之。新設立且未屆第一期</w:t>
      </w:r>
    </w:p>
    <w:p w14:paraId="7E294173" w14:textId="77777777"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lastRenderedPageBreak/>
        <w:t xml:space="preserve">    </w:t>
      </w:r>
      <w:r w:rsidRPr="00A504FA">
        <w:rPr>
          <w:rFonts w:ascii="標楷體" w:eastAsia="標楷體" w:hAnsi="標楷體" w:hint="eastAsia"/>
          <w:sz w:val="28"/>
          <w:szCs w:val="28"/>
        </w:rPr>
        <w:t>營業稅繳納期限者，得以營業稅主管稽徵機關核發之核准設立登記公函代</w:t>
      </w:r>
    </w:p>
    <w:p w14:paraId="22769DF6" w14:textId="77777777"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之；經核定使用統一發票者，應一併檢附申領統一發票購票證相關文件。</w:t>
      </w:r>
    </w:p>
    <w:p w14:paraId="6FD5EA05" w14:textId="77777777" w:rsid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營業稅或所得稅之納稅證明，得以與上開最近一期或前一期證明相同期間</w:t>
      </w:r>
    </w:p>
    <w:p w14:paraId="2A48C291" w14:textId="125D769D" w:rsidR="00A504FA" w:rsidRPr="00A504FA" w:rsidRDefault="00A504FA" w:rsidP="00B00E8F">
      <w:pPr>
        <w:spacing w:line="500" w:lineRule="exact"/>
        <w:ind w:leftChars="-1" w:left="-2" w:firstLine="2"/>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內主管稽徵機關核發之無違章欠稅之查復表代之。</w:t>
      </w:r>
    </w:p>
    <w:p w14:paraId="4FBB105C" w14:textId="77777777"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（3）廠商信用之證明：如票據交換機構或受理查詢之金融機構於截止投標日</w:t>
      </w:r>
    </w:p>
    <w:p w14:paraId="70300365" w14:textId="77777777" w:rsid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之前半年內所出具之非拒絕往來戶及最近三年內無退票紀錄證明、會計師簽</w:t>
      </w:r>
    </w:p>
    <w:p w14:paraId="445CF33E" w14:textId="6990DCF9"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證之財務報表或金融機構或徵信機構出具之信用證明等。</w:t>
      </w:r>
    </w:p>
    <w:p w14:paraId="3CEC5EB3" w14:textId="4B72AADC"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w:t>
      </w:r>
      <w:r w:rsidRPr="00B00E8F">
        <w:rPr>
          <w:rFonts w:ascii="標楷體" w:eastAsia="標楷體" w:hAnsi="標楷體" w:hint="eastAsia"/>
          <w:spacing w:val="-8"/>
          <w:sz w:val="28"/>
          <w:szCs w:val="28"/>
        </w:rPr>
        <w:t>服務建議書1式8份，其格式及相關內容請詳閱招標文件「評選作業定」。</w:t>
      </w:r>
    </w:p>
    <w:p w14:paraId="52F9D650" w14:textId="1B23B908"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13、投標</w:t>
      </w:r>
    </w:p>
    <w:p w14:paraId="559F9A5F" w14:textId="42133634" w:rsidR="00A504FA" w:rsidRPr="00B00E8F" w:rsidRDefault="00A504FA" w:rsidP="00B00E8F">
      <w:pPr>
        <w:spacing w:line="500" w:lineRule="exact"/>
        <w:rPr>
          <w:rFonts w:ascii="標楷體" w:eastAsia="標楷體" w:hAnsi="標楷體"/>
          <w:spacing w:val="-4"/>
          <w:kern w:val="16"/>
          <w:sz w:val="28"/>
          <w:szCs w:val="28"/>
        </w:rPr>
      </w:pPr>
      <w:r w:rsidRPr="00A504FA">
        <w:rPr>
          <w:rFonts w:ascii="標楷體" w:eastAsia="標楷體" w:hAnsi="標楷體" w:hint="eastAsia"/>
          <w:sz w:val="28"/>
          <w:szCs w:val="28"/>
        </w:rPr>
        <w:t>（1）收受投標：</w:t>
      </w:r>
      <w:r w:rsidRPr="00B00E8F">
        <w:rPr>
          <w:rFonts w:ascii="標楷體" w:eastAsia="標楷體" w:hAnsi="標楷體" w:hint="eastAsia"/>
          <w:spacing w:val="-4"/>
          <w:kern w:val="16"/>
          <w:sz w:val="28"/>
          <w:szCs w:val="28"/>
        </w:rPr>
        <w:t>以郵遞方式寄達或請專人送達─屏東縣東港鎮大潭路169</w:t>
      </w:r>
      <w:r w:rsidR="00B00E8F" w:rsidRPr="00B00E8F">
        <w:rPr>
          <w:rFonts w:ascii="標楷體" w:eastAsia="標楷體" w:hAnsi="標楷體" w:hint="eastAsia"/>
          <w:spacing w:val="-4"/>
          <w:kern w:val="16"/>
          <w:sz w:val="28"/>
          <w:szCs w:val="28"/>
        </w:rPr>
        <w:t>號。</w:t>
      </w:r>
    </w:p>
    <w:p w14:paraId="18E8AD4A" w14:textId="207DE77A"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（2）截止收受標單期限為民國</w:t>
      </w:r>
      <w:r>
        <w:rPr>
          <w:rFonts w:ascii="標楷體" w:eastAsia="標楷體" w:hAnsi="標楷體" w:hint="eastAsia"/>
          <w:sz w:val="28"/>
          <w:szCs w:val="28"/>
        </w:rPr>
        <w:t>115</w:t>
      </w:r>
      <w:r w:rsidRPr="00A504FA">
        <w:rPr>
          <w:rFonts w:ascii="標楷體" w:eastAsia="標楷體" w:hAnsi="標楷體" w:hint="eastAsia"/>
          <w:sz w:val="28"/>
          <w:szCs w:val="28"/>
        </w:rPr>
        <w:t>年</w:t>
      </w:r>
      <w:r>
        <w:rPr>
          <w:rFonts w:ascii="標楷體" w:eastAsia="標楷體" w:hAnsi="標楷體" w:hint="eastAsia"/>
          <w:sz w:val="28"/>
          <w:szCs w:val="28"/>
        </w:rPr>
        <w:t>4</w:t>
      </w:r>
      <w:r w:rsidRPr="00A504FA">
        <w:rPr>
          <w:rFonts w:ascii="標楷體" w:eastAsia="標楷體" w:hAnsi="標楷體" w:hint="eastAsia"/>
          <w:sz w:val="28"/>
          <w:szCs w:val="28"/>
        </w:rPr>
        <w:t>月</w:t>
      </w:r>
      <w:r w:rsidR="00BF333C">
        <w:rPr>
          <w:rFonts w:ascii="標楷體" w:eastAsia="標楷體" w:hAnsi="標楷體" w:hint="eastAsia"/>
          <w:sz w:val="28"/>
          <w:szCs w:val="28"/>
        </w:rPr>
        <w:t>24</w:t>
      </w:r>
      <w:r w:rsidRPr="00A504FA">
        <w:rPr>
          <w:rFonts w:ascii="標楷體" w:eastAsia="標楷體" w:hAnsi="標楷體" w:hint="eastAsia"/>
          <w:sz w:val="28"/>
          <w:szCs w:val="28"/>
        </w:rPr>
        <w:t>日9時0</w:t>
      </w:r>
      <w:r w:rsidR="002A6B51">
        <w:rPr>
          <w:rFonts w:ascii="標楷體" w:eastAsia="標楷體" w:hAnsi="標楷體" w:hint="eastAsia"/>
          <w:sz w:val="28"/>
          <w:szCs w:val="28"/>
        </w:rPr>
        <w:t>0</w:t>
      </w:r>
      <w:r w:rsidRPr="00A504FA">
        <w:rPr>
          <w:rFonts w:ascii="標楷體" w:eastAsia="標楷體" w:hAnsi="標楷體" w:hint="eastAsia"/>
          <w:sz w:val="28"/>
          <w:szCs w:val="28"/>
        </w:rPr>
        <w:t>分。必須於截止期限前</w:t>
      </w:r>
    </w:p>
    <w:p w14:paraId="66F20A26" w14:textId="5A7F88EA"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寄（送）達上開地址。</w:t>
      </w:r>
    </w:p>
    <w:p w14:paraId="6E7C3343" w14:textId="493C599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（3）本案「不允許」廠商以電子資料傳輸方式遞送投標文件。</w:t>
      </w:r>
    </w:p>
    <w:p w14:paraId="2DC77AEA" w14:textId="1D01AEE0"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（4）本案「不允許」廠商於開標前補正非契約必要之點之文件。</w:t>
      </w:r>
    </w:p>
    <w:p w14:paraId="1A3A4210" w14:textId="77777777" w:rsid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（5）投標廠商若有不公平競爭或利益衝突之情事，不得參加投標及作為決標</w:t>
      </w:r>
    </w:p>
    <w:p w14:paraId="58C33A4C" w14:textId="2184DD53" w:rsidR="00A504FA" w:rsidRPr="00A504FA" w:rsidRDefault="00A504FA"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Pr="00A504FA">
        <w:rPr>
          <w:rFonts w:ascii="標楷體" w:eastAsia="標楷體" w:hAnsi="標楷體" w:hint="eastAsia"/>
          <w:sz w:val="28"/>
          <w:szCs w:val="28"/>
        </w:rPr>
        <w:t>對象或協力廠商。</w:t>
      </w:r>
    </w:p>
    <w:p w14:paraId="54A066E6" w14:textId="012B8D9A"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（6）廠商所提附帶條件，除非有利於機關，否則該附帶條件無效。  </w:t>
      </w:r>
    </w:p>
    <w:p w14:paraId="289877F9" w14:textId="7EE3F541"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14、開標</w:t>
      </w:r>
    </w:p>
    <w:p w14:paraId="7C3F4CF1" w14:textId="499F295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（1）開標時間：民國</w:t>
      </w:r>
      <w:r w:rsidR="00B00E8F">
        <w:rPr>
          <w:rFonts w:ascii="標楷體" w:eastAsia="標楷體" w:hAnsi="標楷體" w:hint="eastAsia"/>
          <w:sz w:val="28"/>
          <w:szCs w:val="28"/>
        </w:rPr>
        <w:t>115</w:t>
      </w:r>
      <w:r w:rsidRPr="00A504FA">
        <w:rPr>
          <w:rFonts w:ascii="標楷體" w:eastAsia="標楷體" w:hAnsi="標楷體" w:hint="eastAsia"/>
          <w:sz w:val="28"/>
          <w:szCs w:val="28"/>
        </w:rPr>
        <w:t>年</w:t>
      </w:r>
      <w:r w:rsidR="00B00E8F">
        <w:rPr>
          <w:rFonts w:ascii="標楷體" w:eastAsia="標楷體" w:hAnsi="標楷體" w:hint="eastAsia"/>
          <w:sz w:val="28"/>
          <w:szCs w:val="28"/>
        </w:rPr>
        <w:t>4</w:t>
      </w:r>
      <w:r w:rsidRPr="00A504FA">
        <w:rPr>
          <w:rFonts w:ascii="標楷體" w:eastAsia="標楷體" w:hAnsi="標楷體" w:hint="eastAsia"/>
          <w:sz w:val="28"/>
          <w:szCs w:val="28"/>
        </w:rPr>
        <w:t>月</w:t>
      </w:r>
      <w:r w:rsidR="00BF333C">
        <w:rPr>
          <w:rFonts w:ascii="標楷體" w:eastAsia="標楷體" w:hAnsi="標楷體" w:hint="eastAsia"/>
          <w:sz w:val="28"/>
          <w:szCs w:val="28"/>
        </w:rPr>
        <w:t>24</w:t>
      </w:r>
      <w:r w:rsidRPr="00A504FA">
        <w:rPr>
          <w:rFonts w:ascii="標楷體" w:eastAsia="標楷體" w:hAnsi="標楷體" w:hint="eastAsia"/>
          <w:sz w:val="28"/>
          <w:szCs w:val="28"/>
        </w:rPr>
        <w:t>日上午10時00分於機關會議室辦理資格審查，評選會議於當日下午14時召開；上開評選會議由經審查資格符合之投標廠商參加（每1投標廠商之參加人數限制為4人），經評選會議排定優勝序位</w:t>
      </w:r>
      <w:r w:rsidRPr="00A504FA">
        <w:rPr>
          <w:rFonts w:ascii="標楷體" w:eastAsia="標楷體" w:hAnsi="標楷體" w:hint="eastAsia"/>
          <w:sz w:val="28"/>
          <w:szCs w:val="28"/>
        </w:rPr>
        <w:lastRenderedPageBreak/>
        <w:t xml:space="preserve">後，由機關通知序位第1名之廠商取得優先議約權。 </w:t>
      </w:r>
    </w:p>
    <w:p w14:paraId="2377B050" w14:textId="08C1079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（2）開標地點：機關第2會議室。</w:t>
      </w:r>
    </w:p>
    <w:p w14:paraId="41B3C328" w14:textId="7D0870CE"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w:t>
      </w:r>
      <w:r>
        <w:rPr>
          <w:rFonts w:ascii="標楷體" w:eastAsia="標楷體" w:hAnsi="標楷體" w:hint="eastAsia"/>
          <w:sz w:val="28"/>
          <w:szCs w:val="28"/>
        </w:rPr>
        <w:t>有</w:t>
      </w:r>
      <w:r w:rsidRPr="00A504FA">
        <w:rPr>
          <w:rFonts w:ascii="標楷體" w:eastAsia="標楷體" w:hAnsi="標楷體" w:hint="eastAsia"/>
          <w:sz w:val="28"/>
          <w:szCs w:val="28"/>
        </w:rPr>
        <w:t>權參加開標之投標廠商人數最多4人。</w:t>
      </w:r>
    </w:p>
    <w:p w14:paraId="2852A40F" w14:textId="47DC87B2"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（4）開標、審標及決標時廠商得派員到場。如有派員者，請攜帶公司大小章或檢具「投標廠商出席開標/評選會人員出席證明（附件七）」及代用印章參與開標、審標及決標。</w:t>
      </w:r>
    </w:p>
    <w:p w14:paraId="056C94B7" w14:textId="724E910D"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15、履約保證金</w:t>
      </w:r>
    </w:p>
    <w:p w14:paraId="3191EBFA" w14:textId="4B1F9450"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（1）履約保證金額度：新臺幣5萬元。</w:t>
      </w:r>
    </w:p>
    <w:p w14:paraId="461691D6" w14:textId="15898CD1"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（2）得標廠商應於簽訂契約前繳納履約保證金。</w:t>
      </w:r>
    </w:p>
    <w:p w14:paraId="6AE5AB89" w14:textId="58EBF9E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（3）得標廠商簽訂契約前仍未繳妥者，機關得撤銷本決標案，不予簽約。</w:t>
      </w:r>
    </w:p>
    <w:p w14:paraId="07F29D16" w14:textId="6FDEF3CC"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（4）如以銀行之書面連帶保證或開發或保兌之不可撤銷擔保信用狀繳納履約保證金者，機關得視該銀行之債信、過去履行連帶保證之紀錄等，經機關審核後始予接受。</w:t>
      </w:r>
    </w:p>
    <w:p w14:paraId="01810147" w14:textId="573BD3FE"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16、釋疑</w:t>
      </w:r>
    </w:p>
    <w:p w14:paraId="4D1AC1AE" w14:textId="2D408CEB"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（1）廠商對招標文件內容有疑義者，應以書面向機關請求釋疑之期限：自公告日起等標期之四分之一，其尾數不足1日者，以1日計。</w:t>
      </w:r>
    </w:p>
    <w:p w14:paraId="16851598" w14:textId="206ADE7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（2）機關以書面答復前條請求釋疑廠商之期限：投標截止期限前1日答覆。</w:t>
      </w:r>
    </w:p>
    <w:p w14:paraId="0A9A1DF2" w14:textId="3EE4BBC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17、招標文件清單</w:t>
      </w:r>
    </w:p>
    <w:p w14:paraId="557B8975" w14:textId="68042DCF"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（1）投標須知 </w:t>
      </w:r>
    </w:p>
    <w:p w14:paraId="7F551E59" w14:textId="035E55B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（2）契約書(草案)</w:t>
      </w:r>
    </w:p>
    <w:p w14:paraId="7F7A3C28" w14:textId="5738943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w:t>
      </w:r>
      <w:r w:rsidR="00032BB6">
        <w:rPr>
          <w:rFonts w:ascii="標楷體" w:eastAsia="標楷體" w:hAnsi="標楷體" w:hint="eastAsia"/>
          <w:sz w:val="28"/>
          <w:szCs w:val="28"/>
        </w:rPr>
        <w:t>評</w:t>
      </w:r>
      <w:r w:rsidRPr="00A504FA">
        <w:rPr>
          <w:rFonts w:ascii="標楷體" w:eastAsia="標楷體" w:hAnsi="標楷體" w:hint="eastAsia"/>
          <w:sz w:val="28"/>
          <w:szCs w:val="28"/>
        </w:rPr>
        <w:t xml:space="preserve">選作業規定 </w:t>
      </w:r>
    </w:p>
    <w:p w14:paraId="0F62C63E" w14:textId="4516341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（4）投標廠商資格審查表</w:t>
      </w:r>
    </w:p>
    <w:p w14:paraId="5B5BE7CD" w14:textId="7FD93AFB"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lastRenderedPageBreak/>
        <w:t>（5）續約評鑑表</w:t>
      </w:r>
    </w:p>
    <w:p w14:paraId="6FD894E9" w14:textId="4BB8AD3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（6）投標廠商聲明書</w:t>
      </w:r>
    </w:p>
    <w:p w14:paraId="62D5AEFF" w14:textId="06D9DE8A"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（7）切結書</w:t>
      </w:r>
    </w:p>
    <w:p w14:paraId="3AA74C52" w14:textId="6F3B198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（8）委託書</w:t>
      </w:r>
    </w:p>
    <w:p w14:paraId="3F27BDE8" w14:textId="494EBE6F"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（9）契約廠商廉政相關規定告知書</w:t>
      </w:r>
    </w:p>
    <w:p w14:paraId="72AD3822" w14:textId="6CEC8E4D"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（10）外標封</w:t>
      </w:r>
    </w:p>
    <w:p w14:paraId="7A4F5BCC" w14:textId="4A1C01FB"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（11）廠商疑義電傳單</w:t>
      </w:r>
    </w:p>
    <w:p w14:paraId="51818D3B" w14:textId="2F84C42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18、投標文件之內容及要求</w:t>
      </w:r>
    </w:p>
    <w:p w14:paraId="7213EE77" w14:textId="1365574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（1）投標文件有效期至少自投標時起至開標後30日曆天止。</w:t>
      </w:r>
    </w:p>
    <w:p w14:paraId="01B049DD" w14:textId="31D1C2C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（2）廠商應遞送投標文件份數，除服務建議書外，為1式1份。 </w:t>
      </w:r>
    </w:p>
    <w:p w14:paraId="630E55DC" w14:textId="5729A4BB"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19、投標文件之裝封</w:t>
      </w:r>
    </w:p>
    <w:p w14:paraId="3800CA11" w14:textId="73A1775E"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（1）廠商應將下列投標文件裝入「外標封」，或廠商自備之不透明容器中，必要時服務建議書得另裝封於不透明容器內，惟應與外標封一併遞送： </w:t>
      </w:r>
    </w:p>
    <w:p w14:paraId="1154C34C" w14:textId="146D3E6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1.資格文件。 </w:t>
      </w:r>
    </w:p>
    <w:p w14:paraId="7BD4FB45" w14:textId="3DFF7C3D"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2.服務建議書及其他文件。 </w:t>
      </w:r>
    </w:p>
    <w:p w14:paraId="34B87CE7" w14:textId="0D4DF7F2" w:rsidR="00A504FA" w:rsidRPr="00032BB6" w:rsidRDefault="00A504FA" w:rsidP="00B00E8F">
      <w:pPr>
        <w:spacing w:line="500" w:lineRule="exact"/>
        <w:rPr>
          <w:rFonts w:ascii="標楷體" w:eastAsia="標楷體" w:hAnsi="標楷體"/>
          <w:spacing w:val="-8"/>
          <w:sz w:val="28"/>
          <w:szCs w:val="28"/>
        </w:rPr>
      </w:pPr>
      <w:r w:rsidRPr="00A504FA">
        <w:rPr>
          <w:rFonts w:ascii="標楷體" w:eastAsia="標楷體" w:hAnsi="標楷體" w:hint="eastAsia"/>
          <w:sz w:val="28"/>
          <w:szCs w:val="28"/>
        </w:rPr>
        <w:t>（2）</w:t>
      </w:r>
      <w:r w:rsidRPr="00032BB6">
        <w:rPr>
          <w:rFonts w:ascii="標楷體" w:eastAsia="標楷體" w:hAnsi="標楷體" w:hint="eastAsia"/>
          <w:spacing w:val="-8"/>
          <w:sz w:val="28"/>
          <w:szCs w:val="28"/>
        </w:rPr>
        <w:t xml:space="preserve">各封口應密封，投標廠商於該等封口加蓋投標廠商或負責人或代表人印章。 </w:t>
      </w:r>
    </w:p>
    <w:p w14:paraId="249C870E" w14:textId="48B5A37B"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（3）廠商應依各封面規定所須加註之資料於各封面加註該資料，如投標廠商名稱、地址及負責人或代表人姓名等。 </w:t>
      </w:r>
    </w:p>
    <w:p w14:paraId="23F5F576" w14:textId="7B4D6F09"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（4）廠商自行以不透明封套或容器裝封投標文件者，請配合於該等不透明封套或容器表面黏貼招標機關所提供之「封面」，或加註相似之文字。</w:t>
      </w:r>
    </w:p>
    <w:p w14:paraId="2DD66D62" w14:textId="64A9A5CD"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20、未如期開標之處理</w:t>
      </w:r>
    </w:p>
    <w:p w14:paraId="162F2750" w14:textId="5B4A9B4A"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lastRenderedPageBreak/>
        <w:t xml:space="preserve">（1）機關於本案開標日因故停止上班時，投標文件截止收件時間及開標作業順延至恢復上班當日依原時段、場地辦理，不另行通知。 </w:t>
      </w:r>
    </w:p>
    <w:p w14:paraId="2A03F251" w14:textId="58343C59"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（2）招商案如有下列各款情形之一者，機關得宣布或公告暫停辦理本案之開標程序：</w:t>
      </w:r>
    </w:p>
    <w:p w14:paraId="7473E77D" w14:textId="568EA222"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1.變更或補充招標文件內容者。</w:t>
      </w:r>
    </w:p>
    <w:p w14:paraId="1D848CFD" w14:textId="38EEDFF9"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2.發現有足以影響招商公正之違法或不當行為者。</w:t>
      </w:r>
    </w:p>
    <w:p w14:paraId="01219304" w14:textId="3F132355"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3.招商行為違反法令，機關另為適法之處置。</w:t>
      </w:r>
    </w:p>
    <w:p w14:paraId="0011B069" w14:textId="5C3F3F7B"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4.因應突發事故者。</w:t>
      </w:r>
    </w:p>
    <w:p w14:paraId="41A96936" w14:textId="01733617"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5.招商計畫變更或取消招商者。</w:t>
      </w:r>
    </w:p>
    <w:p w14:paraId="1B362362" w14:textId="3BEED31E"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6.經機關認定之特殊情形。</w:t>
      </w:r>
    </w:p>
    <w:p w14:paraId="06F81D01" w14:textId="6F8C8D0C"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21、訂約</w:t>
      </w:r>
    </w:p>
    <w:p w14:paraId="777D5DE4" w14:textId="7E0BE91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（1）簽約日 </w:t>
      </w:r>
    </w:p>
    <w:p w14:paraId="1F87EC51" w14:textId="4FE7FD45"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1.本案契約以機關核定用印日為簽約日。</w:t>
      </w:r>
    </w:p>
    <w:p w14:paraId="3C8195E6" w14:textId="2C6DCB24"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2.雙方應於決標後30日內完成簽署契約。因可歸責得標廠商事由未能簽約者，則取消得標資格。</w:t>
      </w:r>
    </w:p>
    <w:p w14:paraId="5260746A" w14:textId="29F9E834"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（2）得標廠商有下列情形之一者，機關得撤銷本決標案： </w:t>
      </w:r>
    </w:p>
    <w:p w14:paraId="595EFADF" w14:textId="0B16ED23"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 xml:space="preserve">1.廠商切結、聲明事項，經查與事實不符。 </w:t>
      </w:r>
    </w:p>
    <w:p w14:paraId="2BCB1A39" w14:textId="09940F04"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 xml:space="preserve">2.開標後應得標者不接受決標或拒不簽約。 </w:t>
      </w:r>
    </w:p>
    <w:p w14:paraId="29B9D50D" w14:textId="1010C1E1" w:rsidR="00A504FA" w:rsidRPr="00A504FA" w:rsidRDefault="00032BB6" w:rsidP="00B00E8F">
      <w:pPr>
        <w:spacing w:line="500" w:lineRule="exact"/>
        <w:rPr>
          <w:rFonts w:ascii="標楷體" w:eastAsia="標楷體" w:hAnsi="標楷體"/>
          <w:sz w:val="28"/>
          <w:szCs w:val="28"/>
        </w:rPr>
      </w:pPr>
      <w:r>
        <w:rPr>
          <w:rFonts w:ascii="標楷體" w:eastAsia="標楷體" w:hAnsi="標楷體" w:hint="eastAsia"/>
          <w:sz w:val="28"/>
          <w:szCs w:val="28"/>
        </w:rPr>
        <w:t xml:space="preserve"> </w:t>
      </w:r>
      <w:r w:rsidR="00A504FA" w:rsidRPr="00A504FA">
        <w:rPr>
          <w:rFonts w:ascii="標楷體" w:eastAsia="標楷體" w:hAnsi="標楷體" w:hint="eastAsia"/>
          <w:sz w:val="28"/>
          <w:szCs w:val="28"/>
        </w:rPr>
        <w:t>3.得標後未於規定期限內，繳足履約保證金或提供擔保。</w:t>
      </w:r>
    </w:p>
    <w:p w14:paraId="592F0D1E" w14:textId="4C9A722F"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（3）未經機關同意而逾期不辦理簽約時，視為拋棄得標。 </w:t>
      </w:r>
    </w:p>
    <w:p w14:paraId="7D1716FB" w14:textId="6DEA9BC5"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（4）契約標的以廠商提出之服務建議書與報價單為準，若簡報資料與服務建</w:t>
      </w:r>
      <w:r w:rsidR="00032BB6">
        <w:rPr>
          <w:rFonts w:ascii="標楷體" w:eastAsia="標楷體" w:hAnsi="標楷體" w:hint="eastAsia"/>
          <w:sz w:val="28"/>
          <w:szCs w:val="28"/>
        </w:rPr>
        <w:t xml:space="preserve"> </w:t>
      </w:r>
      <w:r w:rsidRPr="00A504FA">
        <w:rPr>
          <w:rFonts w:ascii="標楷體" w:eastAsia="標楷體" w:hAnsi="標楷體" w:hint="eastAsia"/>
          <w:sz w:val="28"/>
          <w:szCs w:val="28"/>
        </w:rPr>
        <w:t xml:space="preserve">議書有重大差異時，以服務建議書內容為評分標準。 </w:t>
      </w:r>
    </w:p>
    <w:p w14:paraId="79D98847" w14:textId="1D78C6A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lastRenderedPageBreak/>
        <w:t>22、其他</w:t>
      </w:r>
    </w:p>
    <w:p w14:paraId="294DF79E" w14:textId="3D699869"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1）招商文件如有要求或提及特定之商標或商名、專利、設計或型式、特定來源地、生產者或供應者之情形，允許投標廠商提出同等品，其提出同等品之時機為得標廠商得於使用同等品前，依契約規定向機關提出同等品之廠牌、價格及功能、效益、標準或特性等相關資料，以供審查。 </w:t>
      </w:r>
    </w:p>
    <w:p w14:paraId="2F212A90" w14:textId="1708C046"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 xml:space="preserve">（2）投標廠商除以現金、金融機構簽發之本票或支票、保付支票、郵政匯票、無記名政府公債作為履約保證金及其他擔保外，其餘應使用公共工程委員會頒布（修正後）之履約保證金及其他擔保之格式。 </w:t>
      </w:r>
    </w:p>
    <w:p w14:paraId="266A98B3" w14:textId="45C505E3"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（3）其他未規定事項悉依「大鵬灣濱灣碼頭候船中心賣店出租案」契約約定辦理。</w:t>
      </w:r>
    </w:p>
    <w:p w14:paraId="6270E251" w14:textId="327FA1BE"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23、受理廠商檢舉之採購稽核小組連絡電話、傳真及地址與法務部調查局及機關所在地之調查站處（站、組）檢舉電話及信箱：</w:t>
      </w:r>
    </w:p>
    <w:p w14:paraId="1FA72EB8"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(1)部會署-交通部採購稽核小組（地址：540南投縣南投市省府路6號、電話：049-2370030、傳真：049-2391517）</w:t>
      </w:r>
    </w:p>
    <w:p w14:paraId="6BB814E5"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(2)法務部調查局（地址：231新北市新店區中華路74號;新店郵政60000號信箱、電話：02-29177777、傳真：02-29188888）</w:t>
      </w:r>
    </w:p>
    <w:p w14:paraId="10067D0C"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(3)屏東縣調查站（地址：900屏東縣屏東市合作街51號;屏東郵政60000號信箱 、電話：08-7368888 ）</w:t>
      </w:r>
    </w:p>
    <w:p w14:paraId="63F7DF8B" w14:textId="77777777" w:rsidR="00A504FA"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(4)中央採購稽核小組（地址：110臺北市信義區松仁路3號9樓、電話：02-87897548、傳真：02-87897554）</w:t>
      </w:r>
    </w:p>
    <w:p w14:paraId="57F677B5" w14:textId="656CCC6A" w:rsidR="00121699" w:rsidRPr="00A504FA" w:rsidRDefault="00A504FA" w:rsidP="00B00E8F">
      <w:pPr>
        <w:spacing w:line="500" w:lineRule="exact"/>
        <w:rPr>
          <w:rFonts w:ascii="標楷體" w:eastAsia="標楷體" w:hAnsi="標楷體"/>
          <w:sz w:val="28"/>
          <w:szCs w:val="28"/>
        </w:rPr>
      </w:pPr>
      <w:r w:rsidRPr="00A504FA">
        <w:rPr>
          <w:rFonts w:ascii="標楷體" w:eastAsia="標楷體" w:hAnsi="標楷體" w:hint="eastAsia"/>
          <w:sz w:val="28"/>
          <w:szCs w:val="28"/>
        </w:rPr>
        <w:t>24、法務部廉政署受理檢舉電話：0800-286-586；檢舉信箱：10099國史館郵局第153號信箱；傳真檢舉專線：（02）2381-1234；電子郵件檢舉信箱：gechief-p@mail.moj.gov.tw；24小時檢舉中心地址：10048臺北市中正區博愛路166號。</w:t>
      </w:r>
    </w:p>
    <w:sectPr w:rsidR="00121699" w:rsidRPr="00A504FA" w:rsidSect="00BF333C">
      <w:footerReference w:type="default" r:id="rId8"/>
      <w:pgSz w:w="11906" w:h="16838"/>
      <w:pgMar w:top="1134" w:right="849"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4BEB" w14:textId="77777777" w:rsidR="00892A3A" w:rsidRDefault="00892A3A" w:rsidP="00032BB6">
      <w:pPr>
        <w:spacing w:after="0" w:line="240" w:lineRule="auto"/>
      </w:pPr>
      <w:r>
        <w:separator/>
      </w:r>
    </w:p>
  </w:endnote>
  <w:endnote w:type="continuationSeparator" w:id="0">
    <w:p w14:paraId="3A527188" w14:textId="77777777" w:rsidR="00892A3A" w:rsidRDefault="00892A3A" w:rsidP="0003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9FC77" w14:textId="6DB1E4A5" w:rsidR="00032BB6" w:rsidRDefault="00032BB6" w:rsidP="00032BB6">
    <w:pPr>
      <w:pStyle w:val="af0"/>
      <w:jc w:val="center"/>
    </w:pPr>
    <w:r>
      <w:rPr>
        <w:rFonts w:hint="eastAsia"/>
      </w:rPr>
      <w:t>投標須知</w:t>
    </w:r>
    <w:r>
      <w:rPr>
        <w:rFonts w:hint="eastAsia"/>
      </w:rPr>
      <w:t>-</w:t>
    </w:r>
    <w:sdt>
      <w:sdtPr>
        <w:id w:val="-1867058595"/>
        <w:docPartObj>
          <w:docPartGallery w:val="Page Numbers (Bottom of Page)"/>
          <w:docPartUnique/>
        </w:docPartObj>
      </w:sdtPr>
      <w:sdtContent>
        <w:r>
          <w:fldChar w:fldCharType="begin"/>
        </w:r>
        <w:r>
          <w:instrText>PAGE   \* MERGEFORMAT</w:instrText>
        </w:r>
        <w:r>
          <w:fldChar w:fldCharType="separate"/>
        </w:r>
        <w:r>
          <w:rPr>
            <w:lang w:val="zh-TW"/>
          </w:rPr>
          <w:t>2</w:t>
        </w:r>
        <w:r>
          <w:fldChar w:fldCharType="end"/>
        </w:r>
      </w:sdtContent>
    </w:sdt>
  </w:p>
  <w:p w14:paraId="12A4DCB8" w14:textId="77777777" w:rsidR="00032BB6" w:rsidRDefault="00032BB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DB89C" w14:textId="77777777" w:rsidR="00892A3A" w:rsidRDefault="00892A3A" w:rsidP="00032BB6">
      <w:pPr>
        <w:spacing w:after="0" w:line="240" w:lineRule="auto"/>
      </w:pPr>
      <w:r>
        <w:separator/>
      </w:r>
    </w:p>
  </w:footnote>
  <w:footnote w:type="continuationSeparator" w:id="0">
    <w:p w14:paraId="5B903E7F" w14:textId="77777777" w:rsidR="00892A3A" w:rsidRDefault="00892A3A" w:rsidP="00032B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11FC9"/>
    <w:multiLevelType w:val="hybridMultilevel"/>
    <w:tmpl w:val="0F6E3F46"/>
    <w:lvl w:ilvl="0" w:tplc="1CE6068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3189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4FA"/>
    <w:rsid w:val="00032BB6"/>
    <w:rsid w:val="00121699"/>
    <w:rsid w:val="002A6B51"/>
    <w:rsid w:val="002C79E8"/>
    <w:rsid w:val="00373997"/>
    <w:rsid w:val="005C47E8"/>
    <w:rsid w:val="00892A3A"/>
    <w:rsid w:val="00920DDA"/>
    <w:rsid w:val="00A3504C"/>
    <w:rsid w:val="00A504FA"/>
    <w:rsid w:val="00B00E8F"/>
    <w:rsid w:val="00BF333C"/>
    <w:rsid w:val="00C53A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C36F"/>
  <w15:chartTrackingRefBased/>
  <w15:docId w15:val="{273652BE-AD61-4278-97DC-4539BE16B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04F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504F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504FA"/>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A504FA"/>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A504F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504FA"/>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A504FA"/>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504FA"/>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504FA"/>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504FA"/>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A504FA"/>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A504FA"/>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A504FA"/>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A504FA"/>
    <w:rPr>
      <w:rFonts w:eastAsiaTheme="majorEastAsia" w:cstheme="majorBidi"/>
      <w:color w:val="0F4761" w:themeColor="accent1" w:themeShade="BF"/>
    </w:rPr>
  </w:style>
  <w:style w:type="character" w:customStyle="1" w:styleId="60">
    <w:name w:val="標題 6 字元"/>
    <w:basedOn w:val="a0"/>
    <w:link w:val="6"/>
    <w:uiPriority w:val="9"/>
    <w:semiHidden/>
    <w:rsid w:val="00A504FA"/>
    <w:rPr>
      <w:rFonts w:eastAsiaTheme="majorEastAsia" w:cstheme="majorBidi"/>
      <w:color w:val="595959" w:themeColor="text1" w:themeTint="A6"/>
    </w:rPr>
  </w:style>
  <w:style w:type="character" w:customStyle="1" w:styleId="70">
    <w:name w:val="標題 7 字元"/>
    <w:basedOn w:val="a0"/>
    <w:link w:val="7"/>
    <w:uiPriority w:val="9"/>
    <w:semiHidden/>
    <w:rsid w:val="00A504FA"/>
    <w:rPr>
      <w:rFonts w:eastAsiaTheme="majorEastAsia" w:cstheme="majorBidi"/>
      <w:color w:val="595959" w:themeColor="text1" w:themeTint="A6"/>
    </w:rPr>
  </w:style>
  <w:style w:type="character" w:customStyle="1" w:styleId="80">
    <w:name w:val="標題 8 字元"/>
    <w:basedOn w:val="a0"/>
    <w:link w:val="8"/>
    <w:uiPriority w:val="9"/>
    <w:semiHidden/>
    <w:rsid w:val="00A504FA"/>
    <w:rPr>
      <w:rFonts w:eastAsiaTheme="majorEastAsia" w:cstheme="majorBidi"/>
      <w:color w:val="272727" w:themeColor="text1" w:themeTint="D8"/>
    </w:rPr>
  </w:style>
  <w:style w:type="character" w:customStyle="1" w:styleId="90">
    <w:name w:val="標題 9 字元"/>
    <w:basedOn w:val="a0"/>
    <w:link w:val="9"/>
    <w:uiPriority w:val="9"/>
    <w:semiHidden/>
    <w:rsid w:val="00A504FA"/>
    <w:rPr>
      <w:rFonts w:eastAsiaTheme="majorEastAsia" w:cstheme="majorBidi"/>
      <w:color w:val="272727" w:themeColor="text1" w:themeTint="D8"/>
    </w:rPr>
  </w:style>
  <w:style w:type="paragraph" w:styleId="a3">
    <w:name w:val="Title"/>
    <w:basedOn w:val="a"/>
    <w:next w:val="a"/>
    <w:link w:val="a4"/>
    <w:uiPriority w:val="10"/>
    <w:qFormat/>
    <w:rsid w:val="00A504F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A504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04F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A504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04FA"/>
    <w:pPr>
      <w:spacing w:before="160"/>
      <w:jc w:val="center"/>
    </w:pPr>
    <w:rPr>
      <w:i/>
      <w:iCs/>
      <w:color w:val="404040" w:themeColor="text1" w:themeTint="BF"/>
    </w:rPr>
  </w:style>
  <w:style w:type="character" w:customStyle="1" w:styleId="a8">
    <w:name w:val="引文 字元"/>
    <w:basedOn w:val="a0"/>
    <w:link w:val="a7"/>
    <w:uiPriority w:val="29"/>
    <w:rsid w:val="00A504FA"/>
    <w:rPr>
      <w:i/>
      <w:iCs/>
      <w:color w:val="404040" w:themeColor="text1" w:themeTint="BF"/>
    </w:rPr>
  </w:style>
  <w:style w:type="paragraph" w:styleId="a9">
    <w:name w:val="List Paragraph"/>
    <w:basedOn w:val="a"/>
    <w:uiPriority w:val="34"/>
    <w:qFormat/>
    <w:rsid w:val="00A504FA"/>
    <w:pPr>
      <w:ind w:left="720"/>
      <w:contextualSpacing/>
    </w:pPr>
  </w:style>
  <w:style w:type="character" w:styleId="aa">
    <w:name w:val="Intense Emphasis"/>
    <w:basedOn w:val="a0"/>
    <w:uiPriority w:val="21"/>
    <w:qFormat/>
    <w:rsid w:val="00A504FA"/>
    <w:rPr>
      <w:i/>
      <w:iCs/>
      <w:color w:val="0F4761" w:themeColor="accent1" w:themeShade="BF"/>
    </w:rPr>
  </w:style>
  <w:style w:type="paragraph" w:styleId="ab">
    <w:name w:val="Intense Quote"/>
    <w:basedOn w:val="a"/>
    <w:next w:val="a"/>
    <w:link w:val="ac"/>
    <w:uiPriority w:val="30"/>
    <w:qFormat/>
    <w:rsid w:val="00A504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A504FA"/>
    <w:rPr>
      <w:i/>
      <w:iCs/>
      <w:color w:val="0F4761" w:themeColor="accent1" w:themeShade="BF"/>
    </w:rPr>
  </w:style>
  <w:style w:type="character" w:styleId="ad">
    <w:name w:val="Intense Reference"/>
    <w:basedOn w:val="a0"/>
    <w:uiPriority w:val="32"/>
    <w:qFormat/>
    <w:rsid w:val="00A504FA"/>
    <w:rPr>
      <w:b/>
      <w:bCs/>
      <w:smallCaps/>
      <w:color w:val="0F4761" w:themeColor="accent1" w:themeShade="BF"/>
      <w:spacing w:val="5"/>
    </w:rPr>
  </w:style>
  <w:style w:type="paragraph" w:styleId="ae">
    <w:name w:val="header"/>
    <w:basedOn w:val="a"/>
    <w:link w:val="af"/>
    <w:uiPriority w:val="99"/>
    <w:unhideWhenUsed/>
    <w:rsid w:val="00032BB6"/>
    <w:pPr>
      <w:tabs>
        <w:tab w:val="center" w:pos="4153"/>
        <w:tab w:val="right" w:pos="8306"/>
      </w:tabs>
      <w:snapToGrid w:val="0"/>
    </w:pPr>
    <w:rPr>
      <w:sz w:val="20"/>
      <w:szCs w:val="20"/>
    </w:rPr>
  </w:style>
  <w:style w:type="character" w:customStyle="1" w:styleId="af">
    <w:name w:val="頁首 字元"/>
    <w:basedOn w:val="a0"/>
    <w:link w:val="ae"/>
    <w:uiPriority w:val="99"/>
    <w:rsid w:val="00032BB6"/>
    <w:rPr>
      <w:sz w:val="20"/>
      <w:szCs w:val="20"/>
    </w:rPr>
  </w:style>
  <w:style w:type="paragraph" w:styleId="af0">
    <w:name w:val="footer"/>
    <w:basedOn w:val="a"/>
    <w:link w:val="af1"/>
    <w:uiPriority w:val="99"/>
    <w:unhideWhenUsed/>
    <w:rsid w:val="00032BB6"/>
    <w:pPr>
      <w:tabs>
        <w:tab w:val="center" w:pos="4153"/>
        <w:tab w:val="right" w:pos="8306"/>
      </w:tabs>
      <w:snapToGrid w:val="0"/>
    </w:pPr>
    <w:rPr>
      <w:sz w:val="20"/>
      <w:szCs w:val="20"/>
    </w:rPr>
  </w:style>
  <w:style w:type="character" w:customStyle="1" w:styleId="af1">
    <w:name w:val="頁尾 字元"/>
    <w:basedOn w:val="a0"/>
    <w:link w:val="af0"/>
    <w:uiPriority w:val="99"/>
    <w:rsid w:val="00032BB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B977-E3AD-4A37-B59B-E16BB669C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薛碧玉</dc:creator>
  <cp:keywords/>
  <dc:description/>
  <cp:lastModifiedBy>薛碧玉</cp:lastModifiedBy>
  <cp:revision>4</cp:revision>
  <cp:lastPrinted>2026-04-08T09:21:00Z</cp:lastPrinted>
  <dcterms:created xsi:type="dcterms:W3CDTF">2026-04-08T08:55:00Z</dcterms:created>
  <dcterms:modified xsi:type="dcterms:W3CDTF">2026-04-14T09:27:00Z</dcterms:modified>
</cp:coreProperties>
</file>