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EB" w:rsidRDefault="005D46F8">
      <w:pPr>
        <w:pStyle w:val="Textbody"/>
        <w:spacing w:after="183" w:line="46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交通部觀光署受理觀光遊樂業籌設及變更申請案件審查作業要點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92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5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29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日觀民字第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0920016938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號函訂頒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102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3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28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日觀旅字第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10250007051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號令修正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103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6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9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日觀旅字第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10350009221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號令修正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104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14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日觀旅字第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10450020941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號令修正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106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2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23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日觀旅字第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10650002331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號令修正</w:t>
      </w:r>
    </w:p>
    <w:p w:rsidR="00963DEB" w:rsidRDefault="005D46F8">
      <w:pPr>
        <w:pStyle w:val="Standard"/>
        <w:spacing w:before="180" w:after="180" w:line="240" w:lineRule="exact"/>
        <w:ind w:right="-907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22"/>
          <w:szCs w:val="22"/>
          <w:lang w:bidi="ar-SA"/>
        </w:rPr>
        <w:t>中華民國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113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年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月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8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日觀旅字第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11250022503</w:t>
      </w:r>
      <w:r>
        <w:rPr>
          <w:rFonts w:ascii="標楷體" w:eastAsia="標楷體" w:hAnsi="標楷體" w:cs="Times New Roman"/>
          <w:sz w:val="22"/>
          <w:szCs w:val="22"/>
          <w:lang w:bidi="ar-SA"/>
        </w:rPr>
        <w:t>號令修正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一、交通部觀光署（以下簡稱本署）為依觀光遊樂業管理規則（以下簡稱本規則）審查觀光遊樂業籌設、變更申請案，特訂定本要點。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二、觀光遊樂業籌設、變更申請案件於正式審查前，本署應於收件之日起十五日內完成下列事項之程序確認，並函覆申請人：</w:t>
      </w:r>
    </w:p>
    <w:p w:rsidR="00963DEB" w:rsidRDefault="005D46F8">
      <w:pPr>
        <w:pStyle w:val="Textbody"/>
        <w:suppressAutoHyphens w:val="0"/>
        <w:spacing w:line="46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（一）申請書是否符合應備文件格式（如附件一）。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（二）興辦事業計畫是否符合應備之章節及書圖文件製作格式（如附件二）。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（三）其他是否符合本規則第九條規</w:t>
      </w:r>
      <w:r>
        <w:rPr>
          <w:rFonts w:ascii="標楷體" w:eastAsia="標楷體" w:hAnsi="標楷體"/>
          <w:sz w:val="28"/>
          <w:szCs w:val="28"/>
        </w:rPr>
        <w:t>定應備具之文件。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三、依本規則第十五條申請之變更原興辦事業計畫，屬以下情形之一者，得製作變更內容對照表，報由本署備查：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（一）變更計畫案名且未影響原核定興辦事業計畫性質及實質內容。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（二）變更設施配置、名稱且未影響原核定興辦事業計畫之性質、設施種類及項目。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（三）配合政府辦理地籍異動或興辦公共設施而致基地面積增、減。</w:t>
      </w:r>
    </w:p>
    <w:p w:rsidR="00963DEB" w:rsidRDefault="005D46F8">
      <w:pPr>
        <w:pStyle w:val="Textbody"/>
        <w:suppressAutoHyphens w:val="0"/>
        <w:spacing w:line="460" w:lineRule="exact"/>
        <w:ind w:left="5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前項以外之變更事項，應製作變更興辦事業計畫，並依本規則第十條至第十四條規定辦理。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四、符合第二點程序確認案件，應進行興辦事業計畫之審查，並依下列辦理：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（一）觀光遊樂業籌設、變更申請案件之審查期限六十日，自申請人備齊書件，並向本署繳交審查費之日起算，至本署受理觀</w:t>
      </w:r>
      <w:r>
        <w:rPr>
          <w:rFonts w:ascii="標楷體" w:eastAsia="標楷體" w:hAnsi="標楷體"/>
          <w:sz w:val="28"/>
          <w:szCs w:val="28"/>
        </w:rPr>
        <w:lastRenderedPageBreak/>
        <w:t>光遊樂業籌設、變更申請案件審查小組（以下簡稱審查小組）作成審查結論為止。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（二）檢附觀光遊樂業申請案件查核表（如附件三），提請審查小組召開會議審查，並作成會議紀錄通知申請人。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（三）審查期間因配合區域計畫主管機關審議開發計畫，申請人得提請審查小組審查是否為政策支持案件，並作成會議紀錄。</w:t>
      </w:r>
    </w:p>
    <w:p w:rsidR="00963DEB" w:rsidRDefault="005D46F8">
      <w:pPr>
        <w:pStyle w:val="Textbody"/>
        <w:suppressAutoHyphens w:val="0"/>
        <w:spacing w:line="46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（四）前款會議紀錄應載明審查小組所作以下之決議：</w:t>
      </w:r>
    </w:p>
    <w:p w:rsidR="00963DEB" w:rsidRDefault="005D46F8">
      <w:pPr>
        <w:pStyle w:val="Textbody"/>
        <w:suppressAutoHyphens w:val="0"/>
        <w:spacing w:line="46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１、計畫限期修正後再召開審查小組會議審查。</w:t>
      </w:r>
    </w:p>
    <w:p w:rsidR="00963DEB" w:rsidRDefault="005D46F8">
      <w:pPr>
        <w:pStyle w:val="Textbody"/>
        <w:suppressAutoHyphens w:val="0"/>
        <w:spacing w:line="46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２、計畫限期修正後送</w:t>
      </w:r>
      <w:r>
        <w:rPr>
          <w:rFonts w:ascii="標楷體" w:eastAsia="標楷體" w:hAnsi="標楷體"/>
          <w:sz w:val="28"/>
          <w:szCs w:val="28"/>
        </w:rPr>
        <w:t>請審查小組辦理書面複審。</w:t>
      </w:r>
    </w:p>
    <w:p w:rsidR="00963DEB" w:rsidRDefault="005D46F8">
      <w:pPr>
        <w:pStyle w:val="Textbody"/>
        <w:suppressAutoHyphens w:val="0"/>
        <w:spacing w:line="46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３、原則同意，並授權業務單位辦理後續查核事項。</w:t>
      </w:r>
    </w:p>
    <w:p w:rsidR="00963DEB" w:rsidRDefault="005D46F8">
      <w:pPr>
        <w:pStyle w:val="Textbody"/>
        <w:suppressAutoHyphens w:val="0"/>
        <w:spacing w:line="46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４、不同意計畫內容。</w:t>
      </w:r>
    </w:p>
    <w:p w:rsidR="00963DEB" w:rsidRDefault="005D46F8">
      <w:pPr>
        <w:pStyle w:val="Textbody"/>
        <w:suppressAutoHyphens w:val="0"/>
        <w:spacing w:line="46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（五）依審查小組決議需限期補正者，經查核無誤後，於十五日內核准籌設或同意變更。</w:t>
      </w:r>
    </w:p>
    <w:p w:rsidR="00963DEB" w:rsidRDefault="005D46F8">
      <w:pPr>
        <w:pStyle w:val="Textbody"/>
        <w:suppressAutoHyphens w:val="0"/>
        <w:spacing w:line="460" w:lineRule="exact"/>
        <w:ind w:left="1321" w:hanging="83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（六）本署依本規則第十二條規定核發興辦事業計畫定稿本時，經查核需補正者，請申請人於限期三十日內完成補正程序，並經查核無誤後，於十五日內完成核發作業。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五、本署受理觀光遊樂業申請案件審查作業流程圖（如附件四）。</w:t>
      </w:r>
    </w:p>
    <w:p w:rsidR="00963DEB" w:rsidRDefault="005D46F8">
      <w:pPr>
        <w:pStyle w:val="Textbody"/>
        <w:suppressAutoHyphens w:val="0"/>
        <w:spacing w:line="460" w:lineRule="exact"/>
        <w:ind w:left="561" w:hanging="561"/>
        <w:jc w:val="both"/>
      </w:pPr>
      <w:r>
        <w:rPr>
          <w:rFonts w:ascii="標楷體" w:eastAsia="標楷體" w:hAnsi="標楷體"/>
          <w:sz w:val="28"/>
          <w:szCs w:val="28"/>
        </w:rPr>
        <w:t>六、直轄市、縣（市）政府審查觀光遊樂業籌設、變更申請案件，得準用本要點辦理或依需要另定之。</w:t>
      </w:r>
    </w:p>
    <w:sectPr w:rsidR="00963DEB">
      <w:pgSz w:w="11906" w:h="16838"/>
      <w:pgMar w:top="1418" w:right="1418" w:bottom="1418" w:left="1701" w:header="720" w:footer="720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46F8">
      <w:r>
        <w:separator/>
      </w:r>
    </w:p>
  </w:endnote>
  <w:endnote w:type="continuationSeparator" w:id="0">
    <w:p w:rsidR="00000000" w:rsidRDefault="005D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46F8">
      <w:r>
        <w:rPr>
          <w:color w:val="000000"/>
        </w:rPr>
        <w:separator/>
      </w:r>
    </w:p>
  </w:footnote>
  <w:footnote w:type="continuationSeparator" w:id="0">
    <w:p w:rsidR="00000000" w:rsidRDefault="005D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DEB"/>
    <w:rsid w:val="005D46F8"/>
    <w:rsid w:val="0096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C6A1E-A07E-415D-82D9-D48F181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Liberation Serif" w:eastAsia="Liberation Serif" w:hAnsi="Liberation Serif" w:cs="Arial"/>
      <w:szCs w:val="24"/>
      <w:lang w:bidi="hi-IN"/>
    </w:rPr>
  </w:style>
  <w:style w:type="paragraph" w:customStyle="1" w:styleId="Textbody">
    <w:name w:val="Text body"/>
    <w:pPr>
      <w:widowControl w:val="0"/>
      <w:suppressAutoHyphens/>
      <w:overflowPunct w:val="0"/>
    </w:pPr>
  </w:style>
  <w:style w:type="paragraph" w:styleId="a3">
    <w:name w:val="List Paragraph"/>
    <w:basedOn w:val="Textbody"/>
    <w:pPr>
      <w:ind w:left="480"/>
    </w:pPr>
  </w:style>
  <w:style w:type="paragraph" w:styleId="a4">
    <w:name w:val="Body Text"/>
    <w:basedOn w:val="Textbody"/>
    <w:pPr>
      <w:snapToGrid w:val="0"/>
    </w:pPr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本文 字元"/>
    <w:basedOn w:val="a0"/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詹翌羚</dc:creator>
  <dc:description/>
  <cp:lastModifiedBy>劉騏銘</cp:lastModifiedBy>
  <cp:revision>2</cp:revision>
  <dcterms:created xsi:type="dcterms:W3CDTF">2024-01-10T09:07:00Z</dcterms:created>
  <dcterms:modified xsi:type="dcterms:W3CDTF">2024-01-10T09:07:00Z</dcterms:modified>
</cp:coreProperties>
</file>