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20FD" w:rsidRDefault="00DB6086">
      <w:pPr>
        <w:pStyle w:val="ac"/>
        <w:snapToGrid w:val="0"/>
        <w:spacing w:line="520" w:lineRule="atLeast"/>
        <w:ind w:left="-2" w:firstLine="1"/>
      </w:pPr>
      <w:r>
        <w:rPr>
          <w:rFonts w:ascii="標楷體" w:eastAsia="標楷體" w:hAnsi="標楷體"/>
          <w:color w:val="000000"/>
          <w:sz w:val="40"/>
          <w:szCs w:val="40"/>
        </w:rPr>
        <w:t>交通部觀光署補助小客車租賃業與旅宿業合作提供旅客在地接駁服務實施要點</w:t>
      </w:r>
    </w:p>
    <w:p w:rsidR="00B520FD" w:rsidRDefault="00DB6086">
      <w:pPr>
        <w:pStyle w:val="ac"/>
        <w:numPr>
          <w:ilvl w:val="0"/>
          <w:numId w:val="1"/>
        </w:numPr>
        <w:snapToGrid w:val="0"/>
        <w:spacing w:line="320" w:lineRule="atLeast"/>
        <w:ind w:left="-2" w:firstLine="1"/>
      </w:pPr>
      <w:r>
        <w:rPr>
          <w:rFonts w:ascii="標楷體" w:eastAsia="標楷體" w:hAnsi="標楷體"/>
          <w:color w:val="000000"/>
          <w:sz w:val="21"/>
          <w:szCs w:val="21"/>
        </w:rPr>
        <w:t>中華民國</w:t>
      </w:r>
      <w:r>
        <w:rPr>
          <w:rFonts w:ascii="標楷體" w:eastAsia="標楷體" w:hAnsi="標楷體"/>
          <w:color w:val="000000"/>
          <w:sz w:val="21"/>
          <w:szCs w:val="21"/>
        </w:rPr>
        <w:t>112</w:t>
      </w:r>
      <w:r>
        <w:rPr>
          <w:rFonts w:ascii="標楷體" w:eastAsia="標楷體" w:hAnsi="標楷體"/>
          <w:color w:val="000000"/>
          <w:sz w:val="21"/>
          <w:szCs w:val="21"/>
        </w:rPr>
        <w:t>年</w:t>
      </w:r>
      <w:r>
        <w:rPr>
          <w:rFonts w:ascii="標楷體" w:eastAsia="標楷體" w:hAnsi="標楷體"/>
          <w:color w:val="000000"/>
          <w:sz w:val="21"/>
          <w:szCs w:val="21"/>
        </w:rPr>
        <w:t>4</w:t>
      </w:r>
      <w:r>
        <w:rPr>
          <w:rFonts w:ascii="標楷體" w:eastAsia="標楷體" w:hAnsi="標楷體"/>
          <w:color w:val="000000"/>
          <w:sz w:val="21"/>
          <w:szCs w:val="21"/>
        </w:rPr>
        <w:t>月</w:t>
      </w:r>
      <w:r>
        <w:rPr>
          <w:rFonts w:ascii="標楷體" w:eastAsia="標楷體" w:hAnsi="標楷體"/>
          <w:color w:val="000000"/>
          <w:sz w:val="21"/>
          <w:szCs w:val="21"/>
        </w:rPr>
        <w:t>20</w:t>
      </w:r>
      <w:r>
        <w:rPr>
          <w:rFonts w:ascii="標楷體" w:eastAsia="標楷體" w:hAnsi="標楷體"/>
          <w:color w:val="000000"/>
          <w:sz w:val="21"/>
          <w:szCs w:val="21"/>
        </w:rPr>
        <w:t>日</w:t>
      </w:r>
      <w:proofErr w:type="gramStart"/>
      <w:r>
        <w:rPr>
          <w:rFonts w:ascii="標楷體" w:eastAsia="標楷體" w:hAnsi="標楷體"/>
          <w:color w:val="000000"/>
          <w:sz w:val="21"/>
          <w:szCs w:val="21"/>
        </w:rPr>
        <w:t>觀旅字</w:t>
      </w:r>
      <w:proofErr w:type="gramEnd"/>
      <w:r>
        <w:rPr>
          <w:rFonts w:ascii="標楷體" w:eastAsia="標楷體" w:hAnsi="標楷體"/>
          <w:color w:val="000000"/>
          <w:sz w:val="21"/>
          <w:szCs w:val="21"/>
        </w:rPr>
        <w:t>第</w:t>
      </w:r>
      <w:r>
        <w:rPr>
          <w:rFonts w:ascii="標楷體" w:eastAsia="標楷體" w:hAnsi="標楷體"/>
          <w:color w:val="000000"/>
          <w:sz w:val="21"/>
          <w:szCs w:val="21"/>
        </w:rPr>
        <w:t>11250006241</w:t>
      </w:r>
      <w:r>
        <w:rPr>
          <w:rFonts w:ascii="標楷體" w:eastAsia="標楷體" w:hAnsi="標楷體"/>
          <w:color w:val="000000"/>
          <w:sz w:val="21"/>
          <w:szCs w:val="21"/>
        </w:rPr>
        <w:t>號令訂定發布，並自即日生效。</w:t>
      </w:r>
    </w:p>
    <w:p w:rsidR="00B520FD" w:rsidRDefault="00DB6086">
      <w:pPr>
        <w:pStyle w:val="ac"/>
        <w:numPr>
          <w:ilvl w:val="0"/>
          <w:numId w:val="1"/>
        </w:numPr>
        <w:snapToGrid w:val="0"/>
        <w:spacing w:line="320" w:lineRule="atLeast"/>
        <w:ind w:left="-2" w:firstLine="1"/>
      </w:pPr>
      <w:r>
        <w:rPr>
          <w:rFonts w:ascii="標楷體" w:eastAsia="標楷體" w:hAnsi="標楷體"/>
          <w:sz w:val="21"/>
          <w:szCs w:val="21"/>
        </w:rPr>
        <w:t>中華民國</w:t>
      </w:r>
      <w:r>
        <w:rPr>
          <w:rFonts w:ascii="標楷體" w:eastAsia="標楷體" w:hAnsi="標楷體"/>
          <w:sz w:val="21"/>
          <w:szCs w:val="21"/>
        </w:rPr>
        <w:t>112</w:t>
      </w:r>
      <w:r>
        <w:rPr>
          <w:rFonts w:ascii="標楷體" w:eastAsia="標楷體" w:hAnsi="標楷體"/>
          <w:sz w:val="21"/>
          <w:szCs w:val="21"/>
        </w:rPr>
        <w:t>年</w:t>
      </w:r>
      <w:r>
        <w:rPr>
          <w:rFonts w:ascii="標楷體" w:eastAsia="標楷體" w:hAnsi="標楷體"/>
          <w:sz w:val="21"/>
          <w:szCs w:val="21"/>
        </w:rPr>
        <w:t>9</w:t>
      </w:r>
      <w:r>
        <w:rPr>
          <w:rFonts w:ascii="標楷體" w:eastAsia="標楷體" w:hAnsi="標楷體"/>
          <w:sz w:val="21"/>
          <w:szCs w:val="21"/>
        </w:rPr>
        <w:t>月</w:t>
      </w:r>
      <w:r>
        <w:rPr>
          <w:rFonts w:ascii="標楷體" w:eastAsia="標楷體" w:hAnsi="標楷體"/>
          <w:sz w:val="21"/>
          <w:szCs w:val="21"/>
        </w:rPr>
        <w:t>6</w:t>
      </w:r>
      <w:r>
        <w:rPr>
          <w:rFonts w:ascii="標楷體" w:eastAsia="標楷體" w:hAnsi="標楷體"/>
          <w:sz w:val="21"/>
          <w:szCs w:val="21"/>
        </w:rPr>
        <w:t>日</w:t>
      </w:r>
      <w:proofErr w:type="gramStart"/>
      <w:r>
        <w:rPr>
          <w:rFonts w:ascii="標楷體" w:eastAsia="標楷體" w:hAnsi="標楷體"/>
          <w:sz w:val="21"/>
          <w:szCs w:val="21"/>
        </w:rPr>
        <w:t>觀宿字</w:t>
      </w:r>
      <w:proofErr w:type="gramEnd"/>
      <w:r>
        <w:rPr>
          <w:rFonts w:ascii="標楷體" w:eastAsia="標楷體" w:hAnsi="標楷體"/>
          <w:sz w:val="21"/>
          <w:szCs w:val="21"/>
        </w:rPr>
        <w:t>第</w:t>
      </w:r>
      <w:r>
        <w:rPr>
          <w:rFonts w:ascii="標楷體" w:eastAsia="標楷體" w:hAnsi="標楷體"/>
          <w:sz w:val="21"/>
          <w:szCs w:val="21"/>
        </w:rPr>
        <w:t>11206008681</w:t>
      </w:r>
      <w:r>
        <w:rPr>
          <w:rFonts w:ascii="標楷體" w:eastAsia="標楷體" w:hAnsi="標楷體"/>
          <w:sz w:val="21"/>
          <w:szCs w:val="21"/>
        </w:rPr>
        <w:t>號令修正發布，並自</w:t>
      </w:r>
      <w:r>
        <w:rPr>
          <w:rFonts w:ascii="標楷體" w:eastAsia="標楷體" w:hAnsi="標楷體"/>
          <w:sz w:val="21"/>
          <w:szCs w:val="21"/>
        </w:rPr>
        <w:t>112</w:t>
      </w:r>
      <w:r>
        <w:rPr>
          <w:rFonts w:ascii="標楷體" w:eastAsia="標楷體" w:hAnsi="標楷體"/>
          <w:sz w:val="21"/>
          <w:szCs w:val="21"/>
        </w:rPr>
        <w:t>年</w:t>
      </w:r>
      <w:r>
        <w:rPr>
          <w:rFonts w:ascii="標楷體" w:eastAsia="標楷體" w:hAnsi="標楷體"/>
          <w:sz w:val="21"/>
          <w:szCs w:val="21"/>
        </w:rPr>
        <w:t>4</w:t>
      </w:r>
      <w:r>
        <w:rPr>
          <w:rFonts w:ascii="標楷體" w:eastAsia="標楷體" w:hAnsi="標楷體"/>
          <w:sz w:val="21"/>
          <w:szCs w:val="21"/>
        </w:rPr>
        <w:t>月</w:t>
      </w:r>
      <w:r>
        <w:rPr>
          <w:rFonts w:ascii="標楷體" w:eastAsia="標楷體" w:hAnsi="標楷體"/>
          <w:sz w:val="21"/>
          <w:szCs w:val="21"/>
        </w:rPr>
        <w:t>20</w:t>
      </w:r>
      <w:r>
        <w:rPr>
          <w:rFonts w:ascii="標楷體" w:eastAsia="標楷體" w:hAnsi="標楷體"/>
          <w:sz w:val="21"/>
          <w:szCs w:val="21"/>
        </w:rPr>
        <w:t>日生效。</w:t>
      </w:r>
    </w:p>
    <w:p w:rsidR="00B520FD" w:rsidRDefault="00DB6086">
      <w:pPr>
        <w:pStyle w:val="ac"/>
        <w:numPr>
          <w:ilvl w:val="0"/>
          <w:numId w:val="1"/>
        </w:numPr>
        <w:snapToGrid w:val="0"/>
        <w:spacing w:line="320" w:lineRule="atLeast"/>
        <w:ind w:left="-2" w:firstLine="1"/>
      </w:pPr>
      <w:r>
        <w:rPr>
          <w:rFonts w:ascii="標楷體" w:eastAsia="標楷體" w:hAnsi="標楷體"/>
          <w:sz w:val="21"/>
          <w:szCs w:val="21"/>
        </w:rPr>
        <w:t>中華民國</w:t>
      </w:r>
      <w:r>
        <w:rPr>
          <w:rFonts w:ascii="標楷體" w:eastAsia="標楷體" w:hAnsi="標楷體"/>
          <w:sz w:val="21"/>
          <w:szCs w:val="21"/>
        </w:rPr>
        <w:t>113</w:t>
      </w:r>
      <w:r>
        <w:rPr>
          <w:rFonts w:ascii="標楷體" w:eastAsia="標楷體" w:hAnsi="標楷體"/>
          <w:sz w:val="21"/>
          <w:szCs w:val="21"/>
        </w:rPr>
        <w:t>年</w:t>
      </w:r>
      <w:r>
        <w:rPr>
          <w:rFonts w:ascii="標楷體" w:eastAsia="標楷體" w:hAnsi="標楷體"/>
          <w:sz w:val="21"/>
          <w:szCs w:val="21"/>
        </w:rPr>
        <w:t>3</w:t>
      </w:r>
      <w:r>
        <w:rPr>
          <w:rFonts w:ascii="標楷體" w:eastAsia="標楷體" w:hAnsi="標楷體"/>
          <w:sz w:val="21"/>
          <w:szCs w:val="21"/>
        </w:rPr>
        <w:t>月</w:t>
      </w:r>
      <w:r>
        <w:rPr>
          <w:rFonts w:ascii="標楷體" w:eastAsia="標楷體" w:hAnsi="標楷體"/>
          <w:sz w:val="21"/>
          <w:szCs w:val="21"/>
        </w:rPr>
        <w:t>13</w:t>
      </w:r>
      <w:r>
        <w:rPr>
          <w:rFonts w:ascii="標楷體" w:eastAsia="標楷體" w:hAnsi="標楷體"/>
          <w:sz w:val="21"/>
          <w:szCs w:val="21"/>
        </w:rPr>
        <w:t>日</w:t>
      </w:r>
      <w:proofErr w:type="gramStart"/>
      <w:r>
        <w:rPr>
          <w:rFonts w:ascii="標楷體" w:eastAsia="標楷體" w:hAnsi="標楷體"/>
          <w:sz w:val="21"/>
          <w:szCs w:val="21"/>
        </w:rPr>
        <w:t>觀宿字</w:t>
      </w:r>
      <w:proofErr w:type="gramEnd"/>
      <w:r>
        <w:rPr>
          <w:rFonts w:ascii="標楷體" w:eastAsia="標楷體" w:hAnsi="標楷體"/>
          <w:sz w:val="21"/>
          <w:szCs w:val="21"/>
        </w:rPr>
        <w:t>第</w:t>
      </w:r>
      <w:r>
        <w:rPr>
          <w:rFonts w:ascii="標楷體" w:eastAsia="標楷體" w:hAnsi="標楷體"/>
          <w:sz w:val="21"/>
          <w:szCs w:val="21"/>
        </w:rPr>
        <w:t>11306001231</w:t>
      </w:r>
      <w:r>
        <w:rPr>
          <w:rFonts w:ascii="標楷體" w:eastAsia="標楷體" w:hAnsi="標楷體"/>
          <w:sz w:val="21"/>
          <w:szCs w:val="21"/>
        </w:rPr>
        <w:t>號令修正發布，並自即日生效。</w:t>
      </w:r>
    </w:p>
    <w:p w:rsidR="00B520FD" w:rsidRDefault="00DB6086">
      <w:pPr>
        <w:pStyle w:val="ac"/>
        <w:numPr>
          <w:ilvl w:val="0"/>
          <w:numId w:val="1"/>
        </w:numPr>
        <w:snapToGrid w:val="0"/>
        <w:spacing w:line="320" w:lineRule="atLeast"/>
        <w:ind w:left="-2" w:firstLine="1"/>
      </w:pPr>
      <w:r>
        <w:rPr>
          <w:rFonts w:ascii="標楷體" w:eastAsia="標楷體" w:hAnsi="標楷體"/>
          <w:sz w:val="21"/>
          <w:szCs w:val="21"/>
        </w:rPr>
        <w:t>中華民國</w:t>
      </w:r>
      <w:r>
        <w:rPr>
          <w:rFonts w:ascii="標楷體" w:eastAsia="標楷體" w:hAnsi="標楷體"/>
          <w:sz w:val="21"/>
          <w:szCs w:val="21"/>
        </w:rPr>
        <w:t>113</w:t>
      </w:r>
      <w:r>
        <w:rPr>
          <w:rFonts w:ascii="標楷體" w:eastAsia="標楷體" w:hAnsi="標楷體"/>
          <w:sz w:val="21"/>
          <w:szCs w:val="21"/>
        </w:rPr>
        <w:t>年</w:t>
      </w:r>
      <w:r>
        <w:rPr>
          <w:rFonts w:ascii="標楷體" w:eastAsia="標楷體" w:hAnsi="標楷體"/>
          <w:sz w:val="21"/>
          <w:szCs w:val="21"/>
        </w:rPr>
        <w:t>11</w:t>
      </w:r>
      <w:r>
        <w:rPr>
          <w:rFonts w:ascii="標楷體" w:eastAsia="標楷體" w:hAnsi="標楷體"/>
          <w:sz w:val="21"/>
          <w:szCs w:val="21"/>
        </w:rPr>
        <w:t>月</w:t>
      </w:r>
      <w:r>
        <w:rPr>
          <w:rFonts w:ascii="標楷體" w:eastAsia="標楷體" w:hAnsi="標楷體"/>
          <w:sz w:val="21"/>
          <w:szCs w:val="21"/>
        </w:rPr>
        <w:t>29</w:t>
      </w:r>
      <w:r>
        <w:rPr>
          <w:rFonts w:ascii="標楷體" w:eastAsia="標楷體" w:hAnsi="標楷體"/>
          <w:sz w:val="21"/>
          <w:szCs w:val="21"/>
        </w:rPr>
        <w:t>日</w:t>
      </w:r>
      <w:proofErr w:type="gramStart"/>
      <w:r>
        <w:rPr>
          <w:rFonts w:ascii="標楷體" w:eastAsia="標楷體" w:hAnsi="標楷體"/>
          <w:sz w:val="21"/>
          <w:szCs w:val="21"/>
        </w:rPr>
        <w:t>觀宿字</w:t>
      </w:r>
      <w:proofErr w:type="gramEnd"/>
      <w:r>
        <w:rPr>
          <w:rFonts w:ascii="標楷體" w:eastAsia="標楷體" w:hAnsi="標楷體"/>
          <w:sz w:val="21"/>
          <w:szCs w:val="21"/>
        </w:rPr>
        <w:t>第</w:t>
      </w:r>
      <w:r>
        <w:rPr>
          <w:rFonts w:ascii="標楷體" w:eastAsia="標楷體" w:hAnsi="標楷體"/>
          <w:sz w:val="21"/>
          <w:szCs w:val="21"/>
        </w:rPr>
        <w:t>11306012031</w:t>
      </w:r>
      <w:r>
        <w:rPr>
          <w:rFonts w:ascii="標楷體" w:eastAsia="標楷體" w:hAnsi="標楷體"/>
          <w:sz w:val="21"/>
          <w:szCs w:val="21"/>
        </w:rPr>
        <w:t>號令修正發布，並自</w:t>
      </w:r>
      <w:r>
        <w:rPr>
          <w:rFonts w:ascii="標楷體" w:eastAsia="標楷體" w:hAnsi="標楷體"/>
          <w:sz w:val="21"/>
          <w:szCs w:val="21"/>
        </w:rPr>
        <w:t>113</w:t>
      </w:r>
      <w:r>
        <w:rPr>
          <w:rFonts w:ascii="標楷體" w:eastAsia="標楷體" w:hAnsi="標楷體"/>
          <w:sz w:val="21"/>
          <w:szCs w:val="21"/>
        </w:rPr>
        <w:t>年</w:t>
      </w:r>
      <w:r>
        <w:rPr>
          <w:rFonts w:ascii="標楷體" w:eastAsia="標楷體" w:hAnsi="標楷體"/>
          <w:sz w:val="21"/>
          <w:szCs w:val="21"/>
        </w:rPr>
        <w:t>9</w:t>
      </w:r>
      <w:r>
        <w:rPr>
          <w:rFonts w:ascii="標楷體" w:eastAsia="標楷體" w:hAnsi="標楷體"/>
          <w:sz w:val="21"/>
          <w:szCs w:val="21"/>
        </w:rPr>
        <w:t>月</w:t>
      </w:r>
      <w:r>
        <w:rPr>
          <w:rFonts w:ascii="標楷體" w:eastAsia="標楷體" w:hAnsi="標楷體"/>
          <w:sz w:val="21"/>
          <w:szCs w:val="21"/>
        </w:rPr>
        <w:t>1</w:t>
      </w:r>
      <w:r>
        <w:rPr>
          <w:rFonts w:ascii="標楷體" w:eastAsia="標楷體" w:hAnsi="標楷體"/>
          <w:sz w:val="21"/>
          <w:szCs w:val="21"/>
        </w:rPr>
        <w:t>日生效。</w:t>
      </w:r>
    </w:p>
    <w:p w:rsidR="00B520FD" w:rsidRDefault="00DB6086">
      <w:pPr>
        <w:pStyle w:val="ac"/>
        <w:numPr>
          <w:ilvl w:val="0"/>
          <w:numId w:val="1"/>
        </w:numPr>
        <w:snapToGrid w:val="0"/>
        <w:spacing w:line="320" w:lineRule="atLeast"/>
        <w:ind w:left="-2" w:firstLine="1"/>
      </w:pPr>
      <w:r>
        <w:rPr>
          <w:rFonts w:ascii="標楷體" w:eastAsia="標楷體" w:hAnsi="標楷體"/>
          <w:sz w:val="21"/>
          <w:szCs w:val="21"/>
        </w:rPr>
        <w:t>中華民國</w:t>
      </w:r>
      <w:r>
        <w:rPr>
          <w:rFonts w:ascii="標楷體" w:eastAsia="標楷體" w:hAnsi="標楷體"/>
          <w:sz w:val="21"/>
          <w:szCs w:val="21"/>
        </w:rPr>
        <w:t>114</w:t>
      </w:r>
      <w:r>
        <w:rPr>
          <w:rFonts w:ascii="標楷體" w:eastAsia="標楷體" w:hAnsi="標楷體"/>
          <w:sz w:val="21"/>
          <w:szCs w:val="21"/>
        </w:rPr>
        <w:t>年</w:t>
      </w:r>
      <w:r>
        <w:rPr>
          <w:rFonts w:ascii="標楷體" w:eastAsia="標楷體" w:hAnsi="標楷體"/>
          <w:sz w:val="21"/>
          <w:szCs w:val="21"/>
        </w:rPr>
        <w:t>6</w:t>
      </w:r>
      <w:r>
        <w:rPr>
          <w:rFonts w:ascii="標楷體" w:eastAsia="標楷體" w:hAnsi="標楷體"/>
          <w:sz w:val="21"/>
          <w:szCs w:val="21"/>
        </w:rPr>
        <w:t>月</w:t>
      </w:r>
      <w:r>
        <w:rPr>
          <w:rFonts w:ascii="標楷體" w:eastAsia="標楷體" w:hAnsi="標楷體"/>
          <w:sz w:val="21"/>
          <w:szCs w:val="21"/>
        </w:rPr>
        <w:t>19</w:t>
      </w:r>
      <w:r>
        <w:rPr>
          <w:rFonts w:ascii="標楷體" w:eastAsia="標楷體" w:hAnsi="標楷體"/>
          <w:sz w:val="21"/>
          <w:szCs w:val="21"/>
        </w:rPr>
        <w:t>日</w:t>
      </w:r>
      <w:proofErr w:type="gramStart"/>
      <w:r>
        <w:rPr>
          <w:rFonts w:ascii="標楷體" w:eastAsia="標楷體" w:hAnsi="標楷體"/>
          <w:sz w:val="21"/>
          <w:szCs w:val="21"/>
        </w:rPr>
        <w:t>觀宿字</w:t>
      </w:r>
      <w:proofErr w:type="gramEnd"/>
      <w:r>
        <w:rPr>
          <w:rFonts w:ascii="標楷體" w:eastAsia="標楷體" w:hAnsi="標楷體"/>
          <w:sz w:val="21"/>
          <w:szCs w:val="21"/>
        </w:rPr>
        <w:t>第</w:t>
      </w:r>
      <w:r>
        <w:rPr>
          <w:rFonts w:ascii="標楷體" w:eastAsia="標楷體" w:hAnsi="標楷體"/>
          <w:sz w:val="21"/>
          <w:szCs w:val="21"/>
        </w:rPr>
        <w:t>11406005511</w:t>
      </w:r>
      <w:r>
        <w:rPr>
          <w:rFonts w:ascii="標楷體" w:eastAsia="標楷體" w:hAnsi="標楷體"/>
          <w:sz w:val="21"/>
          <w:szCs w:val="21"/>
        </w:rPr>
        <w:t>號令修正發布，並自即日生效。</w:t>
      </w:r>
    </w:p>
    <w:p w:rsidR="00B520FD" w:rsidRDefault="00DB6086">
      <w:pPr>
        <w:pStyle w:val="ac"/>
        <w:numPr>
          <w:ilvl w:val="0"/>
          <w:numId w:val="2"/>
        </w:numPr>
        <w:snapToGrid w:val="0"/>
        <w:spacing w:line="460" w:lineRule="atLeast"/>
        <w:ind w:left="709" w:hanging="709"/>
        <w:jc w:val="both"/>
      </w:pPr>
      <w:r>
        <w:rPr>
          <w:rFonts w:ascii="標楷體" w:eastAsia="標楷體" w:hAnsi="標楷體"/>
          <w:sz w:val="28"/>
          <w:szCs w:val="28"/>
        </w:rPr>
        <w:t>交通部觀光署</w:t>
      </w:r>
      <w:r>
        <w:rPr>
          <w:rFonts w:ascii="標楷體" w:eastAsia="標楷體" w:hAnsi="標楷體"/>
          <w:sz w:val="28"/>
          <w:szCs w:val="28"/>
        </w:rPr>
        <w:t>(</w:t>
      </w:r>
      <w:r>
        <w:rPr>
          <w:rFonts w:ascii="標楷體" w:eastAsia="標楷體" w:hAnsi="標楷體"/>
          <w:sz w:val="28"/>
          <w:szCs w:val="28"/>
        </w:rPr>
        <w:t>下</w:t>
      </w:r>
      <w:proofErr w:type="gramStart"/>
      <w:r>
        <w:rPr>
          <w:rFonts w:ascii="標楷體" w:eastAsia="標楷體" w:hAnsi="標楷體"/>
          <w:sz w:val="28"/>
          <w:szCs w:val="28"/>
        </w:rPr>
        <w:t>稱本署</w:t>
      </w:r>
      <w:proofErr w:type="gramEnd"/>
      <w:r>
        <w:rPr>
          <w:rFonts w:ascii="標楷體" w:eastAsia="標楷體" w:hAnsi="標楷體"/>
          <w:sz w:val="28"/>
          <w:szCs w:val="28"/>
        </w:rPr>
        <w:t>)</w:t>
      </w:r>
      <w:r>
        <w:rPr>
          <w:rFonts w:ascii="標楷體" w:eastAsia="標楷體" w:hAnsi="標楷體"/>
          <w:sz w:val="28"/>
          <w:szCs w:val="28"/>
        </w:rPr>
        <w:t>為執行疫後強化經濟與社會韌性及全民共享經濟成果特別預算，以促進小客車租賃業與旅宿業合作，提供在地接駁服務，提升自由行旅客旅遊便利性，爰訂定本要點。</w:t>
      </w:r>
    </w:p>
    <w:p w:rsidR="00B520FD" w:rsidRDefault="00DB6086">
      <w:pPr>
        <w:pStyle w:val="ac"/>
        <w:numPr>
          <w:ilvl w:val="0"/>
          <w:numId w:val="2"/>
        </w:numPr>
        <w:snapToGrid w:val="0"/>
        <w:spacing w:line="460" w:lineRule="atLeast"/>
        <w:ind w:left="709" w:hanging="709"/>
        <w:jc w:val="both"/>
        <w:rPr>
          <w:rFonts w:ascii="標楷體" w:eastAsia="標楷體" w:hAnsi="標楷體"/>
          <w:sz w:val="28"/>
          <w:szCs w:val="28"/>
        </w:rPr>
      </w:pPr>
      <w:r>
        <w:rPr>
          <w:rFonts w:ascii="標楷體" w:eastAsia="標楷體" w:hAnsi="標楷體"/>
          <w:sz w:val="28"/>
          <w:szCs w:val="28"/>
        </w:rPr>
        <w:t>本要點用詞，定義如下：</w:t>
      </w:r>
    </w:p>
    <w:p w:rsidR="00B520FD" w:rsidRDefault="00DB6086">
      <w:pPr>
        <w:numPr>
          <w:ilvl w:val="1"/>
          <w:numId w:val="3"/>
        </w:numPr>
        <w:snapToGrid w:val="0"/>
        <w:spacing w:line="460" w:lineRule="atLeast"/>
        <w:ind w:left="1531" w:hanging="454"/>
        <w:jc w:val="both"/>
        <w:rPr>
          <w:rFonts w:ascii="標楷體" w:eastAsia="標楷體" w:hAnsi="標楷體"/>
          <w:sz w:val="28"/>
          <w:szCs w:val="28"/>
        </w:rPr>
      </w:pPr>
      <w:r>
        <w:rPr>
          <w:rFonts w:ascii="標楷體" w:eastAsia="標楷體" w:hAnsi="標楷體"/>
          <w:sz w:val="28"/>
          <w:szCs w:val="28"/>
        </w:rPr>
        <w:t>小客車租賃業：依汽車運輸業管理規則規定取得營業執照者。</w:t>
      </w:r>
    </w:p>
    <w:p w:rsidR="00B520FD" w:rsidRDefault="00DB6086">
      <w:pPr>
        <w:numPr>
          <w:ilvl w:val="1"/>
          <w:numId w:val="3"/>
        </w:numPr>
        <w:snapToGrid w:val="0"/>
        <w:spacing w:line="460" w:lineRule="atLeast"/>
        <w:ind w:left="1531" w:hanging="454"/>
        <w:jc w:val="both"/>
        <w:rPr>
          <w:rFonts w:ascii="標楷體" w:eastAsia="標楷體" w:hAnsi="標楷體"/>
          <w:sz w:val="28"/>
          <w:szCs w:val="28"/>
        </w:rPr>
      </w:pPr>
      <w:r>
        <w:rPr>
          <w:rFonts w:ascii="標楷體" w:eastAsia="標楷體" w:hAnsi="標楷體"/>
          <w:sz w:val="28"/>
          <w:szCs w:val="28"/>
        </w:rPr>
        <w:t>旅宿業：指依法取得觀光旅館業執照之觀光旅館或取得登記證之旅館及民宿。</w:t>
      </w:r>
    </w:p>
    <w:p w:rsidR="00B520FD" w:rsidRDefault="00DB6086">
      <w:pPr>
        <w:numPr>
          <w:ilvl w:val="1"/>
          <w:numId w:val="3"/>
        </w:numPr>
        <w:snapToGrid w:val="0"/>
        <w:spacing w:line="460" w:lineRule="atLeast"/>
        <w:ind w:left="1531" w:hanging="454"/>
        <w:jc w:val="both"/>
        <w:rPr>
          <w:rFonts w:ascii="標楷體" w:eastAsia="標楷體" w:hAnsi="標楷體"/>
          <w:sz w:val="28"/>
          <w:szCs w:val="28"/>
        </w:rPr>
      </w:pPr>
      <w:r>
        <w:rPr>
          <w:rFonts w:ascii="標楷體" w:eastAsia="標楷體" w:hAnsi="標楷體"/>
          <w:sz w:val="28"/>
          <w:szCs w:val="28"/>
        </w:rPr>
        <w:t>申請對象：與旅宿業合作並提供接駁服務之合法小客車租賃業。</w:t>
      </w:r>
    </w:p>
    <w:p w:rsidR="00B520FD" w:rsidRDefault="00DB6086">
      <w:pPr>
        <w:pStyle w:val="ac"/>
        <w:numPr>
          <w:ilvl w:val="0"/>
          <w:numId w:val="2"/>
        </w:numPr>
        <w:snapToGrid w:val="0"/>
        <w:spacing w:line="460" w:lineRule="atLeast"/>
        <w:ind w:left="709" w:hanging="709"/>
        <w:jc w:val="both"/>
        <w:rPr>
          <w:rFonts w:ascii="標楷體" w:eastAsia="標楷體" w:hAnsi="標楷體"/>
          <w:sz w:val="28"/>
          <w:szCs w:val="28"/>
        </w:rPr>
      </w:pPr>
      <w:r>
        <w:rPr>
          <w:rFonts w:ascii="標楷體" w:eastAsia="標楷體" w:hAnsi="標楷體"/>
          <w:sz w:val="28"/>
          <w:szCs w:val="28"/>
        </w:rPr>
        <w:t>本要點補助期間自中華民國一百十二年七月一日至一百十四年十二月三十一日止（以郵戳為憑）；</w:t>
      </w:r>
      <w:proofErr w:type="gramStart"/>
      <w:r>
        <w:rPr>
          <w:rFonts w:ascii="標楷體" w:eastAsia="標楷體" w:hAnsi="標楷體"/>
          <w:sz w:val="28"/>
          <w:szCs w:val="28"/>
        </w:rPr>
        <w:t>本署得</w:t>
      </w:r>
      <w:proofErr w:type="gramEnd"/>
      <w:r>
        <w:rPr>
          <w:rFonts w:ascii="標楷體" w:eastAsia="標楷體" w:hAnsi="標楷體"/>
          <w:sz w:val="28"/>
          <w:szCs w:val="28"/>
        </w:rPr>
        <w:t>視經費支應</w:t>
      </w:r>
      <w:r>
        <w:rPr>
          <w:rFonts w:ascii="標楷體" w:eastAsia="標楷體" w:hAnsi="標楷體"/>
          <w:sz w:val="28"/>
          <w:szCs w:val="28"/>
        </w:rPr>
        <w:t>情形提前公告停止受理補助申請。</w:t>
      </w:r>
    </w:p>
    <w:p w:rsidR="00B520FD" w:rsidRDefault="00DB6086">
      <w:pPr>
        <w:pStyle w:val="ac"/>
        <w:numPr>
          <w:ilvl w:val="0"/>
          <w:numId w:val="2"/>
        </w:numPr>
        <w:snapToGrid w:val="0"/>
        <w:spacing w:line="460" w:lineRule="atLeast"/>
        <w:ind w:left="709" w:hanging="709"/>
        <w:jc w:val="both"/>
        <w:rPr>
          <w:rFonts w:ascii="標楷體" w:eastAsia="標楷體" w:hAnsi="標楷體"/>
          <w:sz w:val="28"/>
          <w:szCs w:val="28"/>
        </w:rPr>
      </w:pPr>
      <w:r>
        <w:rPr>
          <w:rFonts w:ascii="標楷體" w:eastAsia="標楷體" w:hAnsi="標楷體"/>
          <w:sz w:val="28"/>
          <w:szCs w:val="28"/>
        </w:rPr>
        <w:t>申請補助條件如下：</w:t>
      </w:r>
    </w:p>
    <w:p w:rsidR="00B520FD" w:rsidRDefault="00DB6086">
      <w:pPr>
        <w:numPr>
          <w:ilvl w:val="1"/>
          <w:numId w:val="5"/>
        </w:numPr>
        <w:snapToGrid w:val="0"/>
        <w:spacing w:line="460" w:lineRule="atLeast"/>
        <w:ind w:left="1531" w:hanging="454"/>
        <w:jc w:val="both"/>
        <w:rPr>
          <w:rFonts w:ascii="標楷體" w:eastAsia="標楷體" w:hAnsi="標楷體"/>
          <w:sz w:val="28"/>
          <w:szCs w:val="28"/>
        </w:rPr>
      </w:pPr>
      <w:r>
        <w:rPr>
          <w:rFonts w:ascii="標楷體" w:eastAsia="標楷體" w:hAnsi="標楷體"/>
          <w:sz w:val="28"/>
          <w:szCs w:val="28"/>
        </w:rPr>
        <w:t>申請對象須與旅宿業合作，並限於運輸場站及住宿地點提供免付費之接駁服務。</w:t>
      </w:r>
    </w:p>
    <w:p w:rsidR="00B520FD" w:rsidRDefault="00DB6086">
      <w:pPr>
        <w:numPr>
          <w:ilvl w:val="1"/>
          <w:numId w:val="3"/>
        </w:numPr>
        <w:snapToGrid w:val="0"/>
        <w:spacing w:line="460" w:lineRule="atLeast"/>
        <w:ind w:left="1531" w:hanging="454"/>
        <w:jc w:val="both"/>
        <w:rPr>
          <w:rFonts w:ascii="標楷體" w:eastAsia="標楷體" w:hAnsi="標楷體"/>
          <w:sz w:val="28"/>
          <w:szCs w:val="28"/>
        </w:rPr>
      </w:pPr>
      <w:r>
        <w:rPr>
          <w:rFonts w:ascii="標楷體" w:eastAsia="標楷體" w:hAnsi="標楷體"/>
          <w:sz w:val="28"/>
          <w:szCs w:val="28"/>
        </w:rPr>
        <w:t>前款之接駁服務應包含駕駛，且申請對象與旅宿業簽訂接駁服務契約應達三個月以上。但配合在地活動提供接駁服務，接駁服務契約應達一個月，至多累計六個月，並得以契約變更方式於原核定路線內執行。</w:t>
      </w:r>
    </w:p>
    <w:p w:rsidR="00B520FD" w:rsidRDefault="00DB6086">
      <w:pPr>
        <w:numPr>
          <w:ilvl w:val="1"/>
          <w:numId w:val="3"/>
        </w:numPr>
        <w:snapToGrid w:val="0"/>
        <w:spacing w:line="460" w:lineRule="atLeast"/>
        <w:ind w:left="1531" w:hanging="454"/>
        <w:jc w:val="both"/>
        <w:rPr>
          <w:rFonts w:ascii="標楷體" w:eastAsia="標楷體" w:hAnsi="標楷體"/>
          <w:sz w:val="28"/>
          <w:szCs w:val="28"/>
        </w:rPr>
      </w:pPr>
      <w:r>
        <w:rPr>
          <w:rFonts w:ascii="標楷體" w:eastAsia="標楷體" w:hAnsi="標楷體"/>
          <w:sz w:val="28"/>
          <w:szCs w:val="28"/>
        </w:rPr>
        <w:t>申請對象</w:t>
      </w:r>
      <w:proofErr w:type="gramStart"/>
      <w:r>
        <w:rPr>
          <w:rFonts w:ascii="標楷體" w:eastAsia="標楷體" w:hAnsi="標楷體"/>
          <w:sz w:val="28"/>
          <w:szCs w:val="28"/>
        </w:rPr>
        <w:t>應於接駁</w:t>
      </w:r>
      <w:proofErr w:type="gramEnd"/>
      <w:r>
        <w:rPr>
          <w:rFonts w:ascii="標楷體" w:eastAsia="標楷體" w:hAnsi="標楷體"/>
          <w:sz w:val="28"/>
          <w:szCs w:val="28"/>
        </w:rPr>
        <w:t>服務開始前一個月內，檢附</w:t>
      </w:r>
      <w:proofErr w:type="gramStart"/>
      <w:r>
        <w:rPr>
          <w:rFonts w:ascii="標楷體" w:eastAsia="標楷體" w:hAnsi="標楷體"/>
          <w:sz w:val="28"/>
          <w:szCs w:val="28"/>
        </w:rPr>
        <w:t>前款接</w:t>
      </w:r>
      <w:proofErr w:type="gramEnd"/>
      <w:r>
        <w:rPr>
          <w:rFonts w:ascii="標楷體" w:eastAsia="標楷體" w:hAnsi="標楷體"/>
          <w:sz w:val="28"/>
          <w:szCs w:val="28"/>
        </w:rPr>
        <w:t>駁服務契約草案及</w:t>
      </w:r>
      <w:proofErr w:type="gramStart"/>
      <w:r>
        <w:rPr>
          <w:rFonts w:ascii="標楷體" w:eastAsia="標楷體" w:hAnsi="標楷體"/>
          <w:sz w:val="28"/>
          <w:szCs w:val="28"/>
        </w:rPr>
        <w:t>預估</w:t>
      </w:r>
      <w:proofErr w:type="gramEnd"/>
      <w:r>
        <w:rPr>
          <w:rFonts w:ascii="標楷體" w:eastAsia="標楷體" w:hAnsi="標楷體"/>
          <w:sz w:val="28"/>
          <w:szCs w:val="28"/>
        </w:rPr>
        <w:t>趟數</w:t>
      </w:r>
      <w:proofErr w:type="gramStart"/>
      <w:r>
        <w:rPr>
          <w:rFonts w:ascii="標楷體" w:eastAsia="標楷體" w:hAnsi="標楷體"/>
          <w:sz w:val="28"/>
          <w:szCs w:val="28"/>
        </w:rPr>
        <w:t>向本署申</w:t>
      </w:r>
      <w:proofErr w:type="gramEnd"/>
      <w:r>
        <w:rPr>
          <w:rFonts w:ascii="標楷體" w:eastAsia="標楷體" w:hAnsi="標楷體"/>
          <w:sz w:val="28"/>
          <w:szCs w:val="28"/>
        </w:rPr>
        <w:t>請計畫核定，並於每月五日前提供已</w:t>
      </w:r>
      <w:proofErr w:type="gramStart"/>
      <w:r>
        <w:rPr>
          <w:rFonts w:ascii="標楷體" w:eastAsia="標楷體" w:hAnsi="標楷體"/>
          <w:sz w:val="28"/>
          <w:szCs w:val="28"/>
        </w:rPr>
        <w:t>執行趟</w:t>
      </w:r>
      <w:proofErr w:type="gramEnd"/>
      <w:r>
        <w:rPr>
          <w:rFonts w:ascii="標楷體" w:eastAsia="標楷體" w:hAnsi="標楷體"/>
          <w:sz w:val="28"/>
          <w:szCs w:val="28"/>
        </w:rPr>
        <w:t>次及搭乘人次等執行情形</w:t>
      </w:r>
      <w:proofErr w:type="gramStart"/>
      <w:r>
        <w:rPr>
          <w:rFonts w:ascii="標楷體" w:eastAsia="標楷體" w:hAnsi="標楷體"/>
          <w:sz w:val="28"/>
          <w:szCs w:val="28"/>
        </w:rPr>
        <w:t>予本</w:t>
      </w:r>
      <w:proofErr w:type="gramEnd"/>
      <w:r>
        <w:rPr>
          <w:rFonts w:ascii="標楷體" w:eastAsia="標楷體" w:hAnsi="標楷體"/>
          <w:sz w:val="28"/>
          <w:szCs w:val="28"/>
        </w:rPr>
        <w:t>署。另</w:t>
      </w:r>
      <w:proofErr w:type="gramStart"/>
      <w:r>
        <w:rPr>
          <w:rFonts w:ascii="標楷體" w:eastAsia="標楷體" w:hAnsi="標楷體"/>
          <w:sz w:val="28"/>
          <w:szCs w:val="28"/>
        </w:rPr>
        <w:t>前</w:t>
      </w:r>
      <w:r>
        <w:rPr>
          <w:rFonts w:ascii="標楷體" w:eastAsia="標楷體" w:hAnsi="標楷體"/>
          <w:sz w:val="28"/>
          <w:szCs w:val="28"/>
        </w:rPr>
        <w:lastRenderedPageBreak/>
        <w:t>揭接駁</w:t>
      </w:r>
      <w:proofErr w:type="gramEnd"/>
      <w:r>
        <w:rPr>
          <w:rFonts w:ascii="標楷體" w:eastAsia="標楷體" w:hAnsi="標楷體"/>
          <w:sz w:val="28"/>
          <w:szCs w:val="28"/>
        </w:rPr>
        <w:t>服務以同一縣市為原則；若有跨縣市情形，應於申請計</w:t>
      </w:r>
      <w:r>
        <w:rPr>
          <w:rFonts w:ascii="標楷體" w:eastAsia="標楷體" w:hAnsi="標楷體"/>
          <w:sz w:val="28"/>
          <w:szCs w:val="28"/>
        </w:rPr>
        <w:t>畫</w:t>
      </w:r>
      <w:proofErr w:type="gramStart"/>
      <w:r>
        <w:rPr>
          <w:rFonts w:ascii="標楷體" w:eastAsia="標楷體" w:hAnsi="標楷體"/>
          <w:sz w:val="28"/>
          <w:szCs w:val="28"/>
        </w:rPr>
        <w:t>核定時敘明</w:t>
      </w:r>
      <w:proofErr w:type="gramEnd"/>
      <w:r>
        <w:rPr>
          <w:rFonts w:ascii="標楷體" w:eastAsia="標楷體" w:hAnsi="標楷體"/>
          <w:sz w:val="28"/>
          <w:szCs w:val="28"/>
        </w:rPr>
        <w:t>原因。</w:t>
      </w:r>
    </w:p>
    <w:p w:rsidR="00B520FD" w:rsidRDefault="00DB6086">
      <w:pPr>
        <w:pStyle w:val="ac"/>
        <w:numPr>
          <w:ilvl w:val="0"/>
          <w:numId w:val="2"/>
        </w:numPr>
        <w:snapToGrid w:val="0"/>
        <w:spacing w:line="460" w:lineRule="atLeast"/>
        <w:ind w:left="709" w:hanging="709"/>
        <w:jc w:val="both"/>
        <w:rPr>
          <w:rFonts w:ascii="標楷體" w:eastAsia="標楷體" w:hAnsi="標楷體"/>
          <w:sz w:val="28"/>
          <w:szCs w:val="28"/>
        </w:rPr>
      </w:pPr>
      <w:r>
        <w:rPr>
          <w:rFonts w:ascii="標楷體" w:eastAsia="標楷體" w:hAnsi="標楷體"/>
          <w:sz w:val="28"/>
          <w:szCs w:val="28"/>
        </w:rPr>
        <w:t>受理程序及補助額度：</w:t>
      </w:r>
    </w:p>
    <w:p w:rsidR="00B520FD" w:rsidRDefault="00DB6086">
      <w:pPr>
        <w:numPr>
          <w:ilvl w:val="1"/>
          <w:numId w:val="6"/>
        </w:numPr>
        <w:snapToGrid w:val="0"/>
        <w:spacing w:line="460" w:lineRule="atLeast"/>
        <w:ind w:left="1531" w:hanging="454"/>
        <w:jc w:val="both"/>
        <w:rPr>
          <w:rFonts w:ascii="標楷體" w:eastAsia="標楷體" w:hAnsi="標楷體"/>
          <w:sz w:val="28"/>
          <w:szCs w:val="28"/>
        </w:rPr>
      </w:pPr>
      <w:r>
        <w:rPr>
          <w:rFonts w:ascii="標楷體" w:eastAsia="標楷體" w:hAnsi="標楷體"/>
          <w:sz w:val="28"/>
          <w:szCs w:val="28"/>
        </w:rPr>
        <w:t>申請對象履行前點契約得</w:t>
      </w:r>
      <w:proofErr w:type="gramStart"/>
      <w:r>
        <w:rPr>
          <w:rFonts w:ascii="標楷體" w:eastAsia="標楷體" w:hAnsi="標楷體"/>
          <w:sz w:val="28"/>
          <w:szCs w:val="28"/>
        </w:rPr>
        <w:t>檢具第六點</w:t>
      </w:r>
      <w:proofErr w:type="gramEnd"/>
      <w:r>
        <w:rPr>
          <w:rFonts w:ascii="標楷體" w:eastAsia="標楷體" w:hAnsi="標楷體"/>
          <w:sz w:val="28"/>
          <w:szCs w:val="28"/>
        </w:rPr>
        <w:t>之文件</w:t>
      </w:r>
      <w:proofErr w:type="gramStart"/>
      <w:r>
        <w:rPr>
          <w:rFonts w:ascii="標楷體" w:eastAsia="標楷體" w:hAnsi="標楷體"/>
          <w:sz w:val="28"/>
          <w:szCs w:val="28"/>
        </w:rPr>
        <w:t>向本署申</w:t>
      </w:r>
      <w:proofErr w:type="gramEnd"/>
      <w:r>
        <w:rPr>
          <w:rFonts w:ascii="標楷體" w:eastAsia="標楷體" w:hAnsi="標楷體"/>
          <w:sz w:val="28"/>
          <w:szCs w:val="28"/>
        </w:rPr>
        <w:t>請分期核撥補助經費。</w:t>
      </w:r>
    </w:p>
    <w:p w:rsidR="00B520FD" w:rsidRDefault="00DB6086">
      <w:pPr>
        <w:numPr>
          <w:ilvl w:val="1"/>
          <w:numId w:val="3"/>
        </w:numPr>
        <w:snapToGrid w:val="0"/>
        <w:spacing w:line="460" w:lineRule="atLeast"/>
        <w:ind w:left="1531" w:hanging="454"/>
        <w:jc w:val="both"/>
        <w:rPr>
          <w:rFonts w:ascii="標楷體" w:eastAsia="標楷體" w:hAnsi="標楷體"/>
          <w:sz w:val="28"/>
          <w:szCs w:val="28"/>
        </w:rPr>
      </w:pPr>
      <w:r>
        <w:rPr>
          <w:rFonts w:ascii="標楷體" w:eastAsia="標楷體" w:hAnsi="標楷體"/>
          <w:sz w:val="28"/>
          <w:szCs w:val="28"/>
        </w:rPr>
        <w:t>補助期間內補助額度以申請對象同一合作</w:t>
      </w:r>
      <w:proofErr w:type="gramStart"/>
      <w:r>
        <w:rPr>
          <w:rFonts w:ascii="標楷體" w:eastAsia="標楷體" w:hAnsi="標楷體"/>
          <w:sz w:val="28"/>
          <w:szCs w:val="28"/>
        </w:rPr>
        <w:t>之旅宿業者</w:t>
      </w:r>
      <w:proofErr w:type="gramEnd"/>
      <w:r>
        <w:rPr>
          <w:rFonts w:ascii="標楷體" w:eastAsia="標楷體" w:hAnsi="標楷體"/>
          <w:sz w:val="28"/>
          <w:szCs w:val="28"/>
        </w:rPr>
        <w:t>每案每三個月最高新臺幣十五萬元為限，得補助十二個月，逾三個月部分，按執行月數比例計算。另依前點第二款但書所簽訂之契約，每案每月最高補助新臺幣十萬元，並</w:t>
      </w:r>
      <w:proofErr w:type="gramStart"/>
      <w:r>
        <w:rPr>
          <w:rFonts w:ascii="標楷體" w:eastAsia="標楷體" w:hAnsi="標楷體"/>
          <w:sz w:val="28"/>
          <w:szCs w:val="28"/>
        </w:rPr>
        <w:t>得視接駁</w:t>
      </w:r>
      <w:proofErr w:type="gramEnd"/>
      <w:r>
        <w:rPr>
          <w:rFonts w:ascii="標楷體" w:eastAsia="標楷體" w:hAnsi="標楷體"/>
          <w:sz w:val="28"/>
          <w:szCs w:val="28"/>
        </w:rPr>
        <w:t>情形，增額百分之五十。</w:t>
      </w:r>
    </w:p>
    <w:p w:rsidR="00B520FD" w:rsidRDefault="00DB6086">
      <w:pPr>
        <w:pStyle w:val="ac"/>
        <w:numPr>
          <w:ilvl w:val="0"/>
          <w:numId w:val="2"/>
        </w:numPr>
        <w:snapToGrid w:val="0"/>
        <w:spacing w:line="460" w:lineRule="atLeast"/>
        <w:ind w:left="709" w:hanging="709"/>
        <w:jc w:val="both"/>
        <w:rPr>
          <w:rFonts w:ascii="標楷體" w:eastAsia="標楷體" w:hAnsi="標楷體"/>
          <w:sz w:val="28"/>
          <w:szCs w:val="28"/>
        </w:rPr>
      </w:pPr>
      <w:r>
        <w:rPr>
          <w:rFonts w:ascii="標楷體" w:eastAsia="標楷體" w:hAnsi="標楷體"/>
          <w:sz w:val="28"/>
          <w:szCs w:val="28"/>
        </w:rPr>
        <w:t>申請對象至遲應於中華民國一百十五年二月二十八日，檢具下列文件</w:t>
      </w:r>
      <w:proofErr w:type="gramStart"/>
      <w:r>
        <w:rPr>
          <w:rFonts w:ascii="標楷體" w:eastAsia="標楷體" w:hAnsi="標楷體"/>
          <w:sz w:val="28"/>
          <w:szCs w:val="28"/>
        </w:rPr>
        <w:t>送交本署申請</w:t>
      </w:r>
      <w:proofErr w:type="gramEnd"/>
      <w:r>
        <w:rPr>
          <w:rFonts w:ascii="標楷體" w:eastAsia="標楷體" w:hAnsi="標楷體"/>
          <w:sz w:val="28"/>
          <w:szCs w:val="28"/>
        </w:rPr>
        <w:t>撥款：</w:t>
      </w:r>
    </w:p>
    <w:p w:rsidR="00B520FD" w:rsidRDefault="00DB6086">
      <w:pPr>
        <w:numPr>
          <w:ilvl w:val="1"/>
          <w:numId w:val="7"/>
        </w:numPr>
        <w:snapToGrid w:val="0"/>
        <w:spacing w:line="460" w:lineRule="atLeast"/>
        <w:ind w:left="1531" w:hanging="454"/>
        <w:jc w:val="both"/>
        <w:rPr>
          <w:rFonts w:ascii="標楷體" w:eastAsia="標楷體" w:hAnsi="標楷體"/>
          <w:sz w:val="28"/>
          <w:szCs w:val="28"/>
        </w:rPr>
      </w:pPr>
      <w:r>
        <w:rPr>
          <w:rFonts w:ascii="標楷體" w:eastAsia="標楷體" w:hAnsi="標楷體"/>
          <w:sz w:val="28"/>
          <w:szCs w:val="28"/>
        </w:rPr>
        <w:t>獎助撥付申請函。</w:t>
      </w:r>
    </w:p>
    <w:p w:rsidR="00B520FD" w:rsidRDefault="00DB6086">
      <w:pPr>
        <w:numPr>
          <w:ilvl w:val="1"/>
          <w:numId w:val="3"/>
        </w:numPr>
        <w:snapToGrid w:val="0"/>
        <w:spacing w:line="460" w:lineRule="atLeast"/>
        <w:ind w:left="1531" w:hanging="454"/>
        <w:jc w:val="both"/>
        <w:rPr>
          <w:rFonts w:ascii="標楷體" w:eastAsia="標楷體" w:hAnsi="標楷體"/>
          <w:sz w:val="28"/>
          <w:szCs w:val="28"/>
        </w:rPr>
      </w:pPr>
      <w:r>
        <w:rPr>
          <w:rFonts w:ascii="標楷體" w:eastAsia="標楷體" w:hAnsi="標楷體"/>
          <w:sz w:val="28"/>
          <w:szCs w:val="28"/>
        </w:rPr>
        <w:t>領據。</w:t>
      </w:r>
    </w:p>
    <w:p w:rsidR="00B520FD" w:rsidRDefault="00DB6086">
      <w:pPr>
        <w:numPr>
          <w:ilvl w:val="1"/>
          <w:numId w:val="3"/>
        </w:numPr>
        <w:snapToGrid w:val="0"/>
        <w:spacing w:line="460" w:lineRule="atLeast"/>
        <w:ind w:left="1531" w:hanging="454"/>
        <w:jc w:val="both"/>
        <w:rPr>
          <w:rFonts w:ascii="標楷體" w:eastAsia="標楷體" w:hAnsi="標楷體"/>
          <w:sz w:val="28"/>
          <w:szCs w:val="28"/>
        </w:rPr>
      </w:pPr>
      <w:r>
        <w:rPr>
          <w:rFonts w:ascii="標楷體" w:eastAsia="標楷體" w:hAnsi="標楷體"/>
          <w:sz w:val="28"/>
          <w:szCs w:val="28"/>
        </w:rPr>
        <w:t>指定匯款帳戶存摺封面影本。</w:t>
      </w:r>
    </w:p>
    <w:p w:rsidR="00B520FD" w:rsidRDefault="00DB6086">
      <w:pPr>
        <w:numPr>
          <w:ilvl w:val="1"/>
          <w:numId w:val="3"/>
        </w:numPr>
        <w:snapToGrid w:val="0"/>
        <w:spacing w:line="460" w:lineRule="atLeast"/>
        <w:ind w:left="1531" w:hanging="454"/>
        <w:jc w:val="both"/>
        <w:rPr>
          <w:rFonts w:ascii="標楷體" w:eastAsia="標楷體" w:hAnsi="標楷體"/>
          <w:sz w:val="28"/>
          <w:szCs w:val="28"/>
        </w:rPr>
      </w:pPr>
      <w:r>
        <w:rPr>
          <w:rFonts w:ascii="標楷體" w:eastAsia="標楷體" w:hAnsi="標楷體"/>
          <w:sz w:val="28"/>
          <w:szCs w:val="28"/>
        </w:rPr>
        <w:t>租賃契約、出車紀錄明細表等佐證資料。</w:t>
      </w:r>
    </w:p>
    <w:p w:rsidR="00B520FD" w:rsidRDefault="00DB6086">
      <w:pPr>
        <w:numPr>
          <w:ilvl w:val="1"/>
          <w:numId w:val="3"/>
        </w:numPr>
        <w:snapToGrid w:val="0"/>
        <w:spacing w:line="460" w:lineRule="atLeast"/>
        <w:ind w:left="1531" w:hanging="454"/>
        <w:jc w:val="both"/>
        <w:rPr>
          <w:rFonts w:ascii="標楷體" w:eastAsia="標楷體" w:hAnsi="標楷體"/>
          <w:sz w:val="28"/>
          <w:szCs w:val="28"/>
        </w:rPr>
      </w:pPr>
      <w:r>
        <w:rPr>
          <w:rFonts w:ascii="標楷體" w:eastAsia="標楷體" w:hAnsi="標楷體"/>
          <w:sz w:val="28"/>
          <w:szCs w:val="28"/>
        </w:rPr>
        <w:t>切結書。</w:t>
      </w:r>
    </w:p>
    <w:p w:rsidR="00B520FD" w:rsidRDefault="00DB6086">
      <w:pPr>
        <w:numPr>
          <w:ilvl w:val="1"/>
          <w:numId w:val="3"/>
        </w:numPr>
        <w:snapToGrid w:val="0"/>
        <w:spacing w:line="460" w:lineRule="atLeast"/>
        <w:ind w:left="1531" w:hanging="454"/>
        <w:jc w:val="both"/>
        <w:rPr>
          <w:rFonts w:ascii="標楷體" w:eastAsia="標楷體" w:hAnsi="標楷體"/>
          <w:sz w:val="28"/>
          <w:szCs w:val="28"/>
        </w:rPr>
      </w:pPr>
      <w:r>
        <w:rPr>
          <w:rFonts w:ascii="標楷體" w:eastAsia="標楷體" w:hAnsi="標楷體"/>
          <w:sz w:val="28"/>
          <w:szCs w:val="28"/>
        </w:rPr>
        <w:t>申請對象係屬公職人員利益衝突迴避法第二條及第三條所稱公職人員或其關係人者，應填報「公職人員利益衝突迴避法第十四條第二項公職人員及關係人身分關係揭露表」及「公職人員利益衝突</w:t>
      </w:r>
      <w:proofErr w:type="gramStart"/>
      <w:r>
        <w:rPr>
          <w:rFonts w:ascii="標楷體" w:eastAsia="標楷體" w:hAnsi="標楷體"/>
          <w:sz w:val="28"/>
          <w:szCs w:val="28"/>
        </w:rPr>
        <w:t>迴避法切結</w:t>
      </w:r>
      <w:proofErr w:type="gramEnd"/>
      <w:r>
        <w:rPr>
          <w:rFonts w:ascii="標楷體" w:eastAsia="標楷體" w:hAnsi="標楷體"/>
          <w:sz w:val="28"/>
          <w:szCs w:val="28"/>
        </w:rPr>
        <w:t>書」。</w:t>
      </w:r>
    </w:p>
    <w:p w:rsidR="00B520FD" w:rsidRDefault="00DB6086">
      <w:pPr>
        <w:pStyle w:val="ac"/>
        <w:numPr>
          <w:ilvl w:val="0"/>
          <w:numId w:val="2"/>
        </w:numPr>
        <w:snapToGrid w:val="0"/>
        <w:spacing w:line="460" w:lineRule="atLeast"/>
        <w:ind w:left="709" w:hanging="709"/>
        <w:jc w:val="both"/>
        <w:rPr>
          <w:rFonts w:ascii="標楷體" w:eastAsia="標楷體" w:hAnsi="標楷體"/>
          <w:sz w:val="28"/>
          <w:szCs w:val="28"/>
        </w:rPr>
      </w:pPr>
      <w:r>
        <w:rPr>
          <w:rFonts w:ascii="標楷體" w:eastAsia="標楷體" w:hAnsi="標楷體"/>
          <w:sz w:val="28"/>
          <w:szCs w:val="28"/>
        </w:rPr>
        <w:t>申請對象與旅宿業僅得提供接駁服務，不得有經營旅行業務之行為。</w:t>
      </w:r>
    </w:p>
    <w:p w:rsidR="00B520FD" w:rsidRDefault="00DB6086">
      <w:pPr>
        <w:pStyle w:val="ac"/>
        <w:numPr>
          <w:ilvl w:val="0"/>
          <w:numId w:val="2"/>
        </w:numPr>
        <w:snapToGrid w:val="0"/>
        <w:spacing w:line="460" w:lineRule="atLeast"/>
        <w:ind w:left="709" w:hanging="709"/>
        <w:jc w:val="both"/>
        <w:rPr>
          <w:rFonts w:ascii="標楷體" w:eastAsia="標楷體" w:hAnsi="標楷體"/>
          <w:sz w:val="28"/>
          <w:szCs w:val="28"/>
        </w:rPr>
      </w:pPr>
      <w:r>
        <w:rPr>
          <w:rFonts w:ascii="標楷體" w:eastAsia="標楷體" w:hAnsi="標楷體"/>
          <w:sz w:val="28"/>
          <w:szCs w:val="28"/>
        </w:rPr>
        <w:t>與申請對象合作之旅宿業，應揭露接駁班次、預約規定或可接駁地點等相關資訊，並設置緊急連絡或通報管道機制。</w:t>
      </w:r>
    </w:p>
    <w:p w:rsidR="00B520FD" w:rsidRDefault="00DB6086">
      <w:pPr>
        <w:pStyle w:val="ac"/>
        <w:numPr>
          <w:ilvl w:val="0"/>
          <w:numId w:val="2"/>
        </w:numPr>
        <w:snapToGrid w:val="0"/>
        <w:spacing w:line="460" w:lineRule="atLeast"/>
        <w:ind w:left="709" w:hanging="709"/>
        <w:jc w:val="both"/>
        <w:rPr>
          <w:rFonts w:ascii="標楷體" w:eastAsia="標楷體" w:hAnsi="標楷體"/>
          <w:sz w:val="28"/>
          <w:szCs w:val="28"/>
        </w:rPr>
      </w:pPr>
      <w:r>
        <w:rPr>
          <w:rFonts w:ascii="標楷體" w:eastAsia="標楷體" w:hAnsi="標楷體"/>
          <w:sz w:val="28"/>
          <w:szCs w:val="28"/>
        </w:rPr>
        <w:t>申請對象所送文件不符規定者，</w:t>
      </w:r>
      <w:proofErr w:type="gramStart"/>
      <w:r>
        <w:rPr>
          <w:rFonts w:ascii="標楷體" w:eastAsia="標楷體" w:hAnsi="標楷體"/>
          <w:sz w:val="28"/>
          <w:szCs w:val="28"/>
        </w:rPr>
        <w:t>本署得</w:t>
      </w:r>
      <w:proofErr w:type="gramEnd"/>
      <w:r>
        <w:rPr>
          <w:rFonts w:ascii="標楷體" w:eastAsia="標楷體" w:hAnsi="標楷體"/>
          <w:sz w:val="28"/>
          <w:szCs w:val="28"/>
        </w:rPr>
        <w:t>予駁回；其情形可補正者，應通知限期補正，逾期未補正者，</w:t>
      </w:r>
      <w:proofErr w:type="gramStart"/>
      <w:r>
        <w:rPr>
          <w:rFonts w:ascii="標楷體" w:eastAsia="標楷體" w:hAnsi="標楷體"/>
          <w:sz w:val="28"/>
          <w:szCs w:val="28"/>
        </w:rPr>
        <w:t>本署得</w:t>
      </w:r>
      <w:proofErr w:type="gramEnd"/>
      <w:r>
        <w:rPr>
          <w:rFonts w:ascii="標楷體" w:eastAsia="標楷體" w:hAnsi="標楷體"/>
          <w:sz w:val="28"/>
          <w:szCs w:val="28"/>
        </w:rPr>
        <w:t>予駁回。</w:t>
      </w:r>
    </w:p>
    <w:p w:rsidR="00B520FD" w:rsidRDefault="00DB6086">
      <w:pPr>
        <w:pStyle w:val="ac"/>
        <w:numPr>
          <w:ilvl w:val="0"/>
          <w:numId w:val="2"/>
        </w:numPr>
        <w:snapToGrid w:val="0"/>
        <w:spacing w:line="460" w:lineRule="atLeast"/>
        <w:ind w:left="709" w:hanging="709"/>
        <w:jc w:val="both"/>
        <w:rPr>
          <w:rFonts w:ascii="標楷體" w:eastAsia="標楷體" w:hAnsi="標楷體"/>
          <w:sz w:val="28"/>
          <w:szCs w:val="28"/>
        </w:rPr>
      </w:pPr>
      <w:proofErr w:type="gramStart"/>
      <w:r>
        <w:rPr>
          <w:rFonts w:ascii="標楷體" w:eastAsia="標楷體" w:hAnsi="標楷體"/>
          <w:sz w:val="28"/>
          <w:szCs w:val="28"/>
        </w:rPr>
        <w:t>本署與</w:t>
      </w:r>
      <w:proofErr w:type="gramEnd"/>
      <w:r>
        <w:rPr>
          <w:rFonts w:ascii="標楷體" w:eastAsia="標楷體" w:hAnsi="標楷體"/>
          <w:sz w:val="28"/>
          <w:szCs w:val="28"/>
        </w:rPr>
        <w:t>小客車租賃業主管機關交通部公路局得不定</w:t>
      </w:r>
      <w:r>
        <w:rPr>
          <w:rFonts w:ascii="標楷體" w:eastAsia="標楷體" w:hAnsi="標楷體"/>
          <w:sz w:val="28"/>
          <w:szCs w:val="28"/>
        </w:rPr>
        <w:t>期查核申請對象及旅宿業。</w:t>
      </w:r>
    </w:p>
    <w:p w:rsidR="00B520FD" w:rsidRDefault="00DB6086">
      <w:pPr>
        <w:pStyle w:val="ac"/>
        <w:snapToGrid w:val="0"/>
        <w:spacing w:line="460" w:lineRule="atLeast"/>
        <w:ind w:left="709"/>
        <w:jc w:val="both"/>
        <w:rPr>
          <w:rFonts w:ascii="標楷體" w:eastAsia="標楷體" w:hAnsi="標楷體"/>
          <w:sz w:val="28"/>
          <w:szCs w:val="28"/>
        </w:rPr>
      </w:pPr>
      <w:r>
        <w:rPr>
          <w:rFonts w:ascii="標楷體" w:eastAsia="標楷體" w:hAnsi="標楷體"/>
          <w:sz w:val="28"/>
          <w:szCs w:val="28"/>
        </w:rPr>
        <w:t xml:space="preserve">　　前項申請對象及旅宿業應提供必要之協助，不得規避、妨礙</w:t>
      </w:r>
      <w:r>
        <w:rPr>
          <w:rFonts w:ascii="標楷體" w:eastAsia="標楷體" w:hAnsi="標楷體"/>
          <w:sz w:val="28"/>
          <w:szCs w:val="28"/>
        </w:rPr>
        <w:lastRenderedPageBreak/>
        <w:t>或拒絕檢查。</w:t>
      </w:r>
    </w:p>
    <w:p w:rsidR="00B520FD" w:rsidRDefault="00DB6086">
      <w:pPr>
        <w:pStyle w:val="ac"/>
        <w:numPr>
          <w:ilvl w:val="0"/>
          <w:numId w:val="2"/>
        </w:numPr>
        <w:snapToGrid w:val="0"/>
        <w:spacing w:line="460" w:lineRule="atLeast"/>
        <w:ind w:left="737" w:hanging="964"/>
        <w:jc w:val="both"/>
        <w:rPr>
          <w:rFonts w:ascii="標楷體" w:eastAsia="標楷體" w:hAnsi="標楷體"/>
          <w:sz w:val="28"/>
          <w:szCs w:val="28"/>
        </w:rPr>
      </w:pPr>
      <w:r>
        <w:rPr>
          <w:rFonts w:ascii="標楷體" w:eastAsia="標楷體" w:hAnsi="標楷體"/>
          <w:sz w:val="28"/>
          <w:szCs w:val="28"/>
        </w:rPr>
        <w:t>申請對象有下列情事之</w:t>
      </w:r>
      <w:proofErr w:type="gramStart"/>
      <w:r>
        <w:rPr>
          <w:rFonts w:ascii="標楷體" w:eastAsia="標楷體" w:hAnsi="標楷體"/>
          <w:sz w:val="28"/>
          <w:szCs w:val="28"/>
        </w:rPr>
        <w:t>一</w:t>
      </w:r>
      <w:proofErr w:type="gramEnd"/>
      <w:r>
        <w:rPr>
          <w:rFonts w:ascii="標楷體" w:eastAsia="標楷體" w:hAnsi="標楷體"/>
          <w:sz w:val="28"/>
          <w:szCs w:val="28"/>
        </w:rPr>
        <w:t>者，</w:t>
      </w:r>
      <w:proofErr w:type="gramStart"/>
      <w:r>
        <w:rPr>
          <w:rFonts w:ascii="標楷體" w:eastAsia="標楷體" w:hAnsi="標楷體"/>
          <w:sz w:val="28"/>
          <w:szCs w:val="28"/>
        </w:rPr>
        <w:t>本署</w:t>
      </w:r>
      <w:proofErr w:type="gramEnd"/>
      <w:r>
        <w:rPr>
          <w:rFonts w:ascii="標楷體" w:eastAsia="標楷體" w:hAnsi="標楷體"/>
          <w:sz w:val="28"/>
          <w:szCs w:val="28"/>
        </w:rPr>
        <w:t>得不予補助；已核定或核撥補助者，得撤銷或廢止之，並得視情節輕重以書面行政處分令其返還各該補助之全部或一部：</w:t>
      </w:r>
    </w:p>
    <w:p w:rsidR="00B520FD" w:rsidRDefault="00DB6086">
      <w:pPr>
        <w:numPr>
          <w:ilvl w:val="1"/>
          <w:numId w:val="8"/>
        </w:numPr>
        <w:snapToGrid w:val="0"/>
        <w:spacing w:line="460" w:lineRule="atLeast"/>
        <w:ind w:left="1531" w:hanging="454"/>
        <w:jc w:val="both"/>
        <w:rPr>
          <w:rFonts w:ascii="標楷體" w:eastAsia="標楷體" w:hAnsi="標楷體"/>
          <w:sz w:val="28"/>
          <w:szCs w:val="28"/>
        </w:rPr>
      </w:pPr>
      <w:r>
        <w:rPr>
          <w:rFonts w:ascii="標楷體" w:eastAsia="標楷體" w:hAnsi="標楷體"/>
          <w:sz w:val="28"/>
          <w:szCs w:val="28"/>
        </w:rPr>
        <w:t>以詐欺、賄賂、脅迫、其他不正當之方法獲得補助。</w:t>
      </w:r>
    </w:p>
    <w:p w:rsidR="00B520FD" w:rsidRDefault="00DB6086">
      <w:pPr>
        <w:numPr>
          <w:ilvl w:val="1"/>
          <w:numId w:val="3"/>
        </w:numPr>
        <w:snapToGrid w:val="0"/>
        <w:spacing w:line="460" w:lineRule="atLeast"/>
        <w:ind w:left="1531" w:hanging="454"/>
        <w:jc w:val="both"/>
        <w:rPr>
          <w:rFonts w:ascii="標楷體" w:eastAsia="標楷體" w:hAnsi="標楷體"/>
          <w:sz w:val="28"/>
          <w:szCs w:val="28"/>
        </w:rPr>
      </w:pPr>
      <w:r>
        <w:rPr>
          <w:rFonts w:ascii="標楷體" w:eastAsia="標楷體" w:hAnsi="標楷體"/>
          <w:sz w:val="28"/>
          <w:szCs w:val="28"/>
        </w:rPr>
        <w:t>申請文件、資料隱匿或虛偽不實。</w:t>
      </w:r>
    </w:p>
    <w:p w:rsidR="00B520FD" w:rsidRDefault="00DB6086">
      <w:pPr>
        <w:numPr>
          <w:ilvl w:val="1"/>
          <w:numId w:val="3"/>
        </w:numPr>
        <w:snapToGrid w:val="0"/>
        <w:spacing w:line="460" w:lineRule="atLeast"/>
        <w:ind w:left="1531" w:hanging="454"/>
        <w:jc w:val="both"/>
        <w:rPr>
          <w:rFonts w:ascii="標楷體" w:eastAsia="標楷體" w:hAnsi="標楷體"/>
          <w:sz w:val="28"/>
          <w:szCs w:val="28"/>
        </w:rPr>
      </w:pPr>
      <w:r>
        <w:rPr>
          <w:rFonts w:ascii="標楷體" w:eastAsia="標楷體" w:hAnsi="標楷體"/>
          <w:sz w:val="28"/>
          <w:szCs w:val="28"/>
        </w:rPr>
        <w:t>申請項目已依其他法令規定獲相同性質之補助或補貼。</w:t>
      </w:r>
    </w:p>
    <w:p w:rsidR="00B520FD" w:rsidRDefault="00DB6086">
      <w:pPr>
        <w:numPr>
          <w:ilvl w:val="1"/>
          <w:numId w:val="3"/>
        </w:numPr>
        <w:snapToGrid w:val="0"/>
        <w:spacing w:line="460" w:lineRule="atLeast"/>
        <w:ind w:left="1531" w:hanging="454"/>
        <w:jc w:val="both"/>
        <w:rPr>
          <w:rFonts w:ascii="標楷體" w:eastAsia="標楷體" w:hAnsi="標楷體"/>
          <w:sz w:val="28"/>
          <w:szCs w:val="28"/>
        </w:rPr>
      </w:pPr>
      <w:r>
        <w:rPr>
          <w:rFonts w:ascii="標楷體" w:eastAsia="標楷體" w:hAnsi="標楷體"/>
          <w:sz w:val="28"/>
          <w:szCs w:val="28"/>
        </w:rPr>
        <w:t>未依核定項目執行。</w:t>
      </w:r>
    </w:p>
    <w:p w:rsidR="00B520FD" w:rsidRDefault="00DB6086">
      <w:pPr>
        <w:numPr>
          <w:ilvl w:val="1"/>
          <w:numId w:val="3"/>
        </w:numPr>
        <w:snapToGrid w:val="0"/>
        <w:spacing w:line="460" w:lineRule="atLeast"/>
        <w:ind w:left="1531" w:hanging="454"/>
        <w:jc w:val="both"/>
        <w:rPr>
          <w:rFonts w:ascii="標楷體" w:eastAsia="標楷體" w:hAnsi="標楷體"/>
          <w:sz w:val="28"/>
          <w:szCs w:val="28"/>
        </w:rPr>
      </w:pPr>
      <w:r>
        <w:rPr>
          <w:rFonts w:ascii="標楷體" w:eastAsia="標楷體" w:hAnsi="標楷體"/>
          <w:sz w:val="28"/>
          <w:szCs w:val="28"/>
        </w:rPr>
        <w:t>規避、妨礙或</w:t>
      </w:r>
      <w:proofErr w:type="gramStart"/>
      <w:r>
        <w:rPr>
          <w:rFonts w:ascii="標楷體" w:eastAsia="標楷體" w:hAnsi="標楷體"/>
          <w:sz w:val="28"/>
          <w:szCs w:val="28"/>
        </w:rPr>
        <w:t>拒絕本署依</w:t>
      </w:r>
      <w:proofErr w:type="gramEnd"/>
      <w:r>
        <w:rPr>
          <w:rFonts w:ascii="標楷體" w:eastAsia="標楷體" w:hAnsi="標楷體"/>
          <w:sz w:val="28"/>
          <w:szCs w:val="28"/>
        </w:rPr>
        <w:t>前點規定之查核。</w:t>
      </w:r>
    </w:p>
    <w:p w:rsidR="00B520FD" w:rsidRDefault="00DB6086" w:rsidP="00DB6086">
      <w:pPr>
        <w:pStyle w:val="ac"/>
        <w:snapToGrid w:val="0"/>
        <w:spacing w:line="460" w:lineRule="atLeast"/>
        <w:ind w:left="737"/>
        <w:jc w:val="both"/>
        <w:rPr>
          <w:rFonts w:ascii="標楷體" w:eastAsia="標楷體" w:hAnsi="標楷體"/>
          <w:sz w:val="28"/>
          <w:szCs w:val="28"/>
        </w:rPr>
      </w:pPr>
      <w:r>
        <w:rPr>
          <w:rFonts w:ascii="標楷體" w:eastAsia="標楷體" w:hAnsi="標楷體" w:hint="eastAsia"/>
          <w:sz w:val="28"/>
          <w:szCs w:val="28"/>
        </w:rPr>
        <w:t xml:space="preserve">　　</w:t>
      </w:r>
      <w:bookmarkStart w:id="0" w:name="_GoBack"/>
      <w:bookmarkEnd w:id="0"/>
      <w:r>
        <w:rPr>
          <w:rFonts w:ascii="標楷體" w:eastAsia="標楷體" w:hAnsi="標楷體"/>
          <w:sz w:val="28"/>
          <w:szCs w:val="28"/>
        </w:rPr>
        <w:t>受補助對象有前項第一款或第二款所定情事之一者，本署得對該受補助對象停止提供本署之各項獎勵、補助或補貼三年。</w:t>
      </w:r>
    </w:p>
    <w:p w:rsidR="00B520FD" w:rsidRDefault="00DB6086">
      <w:pPr>
        <w:pStyle w:val="ac"/>
        <w:numPr>
          <w:ilvl w:val="0"/>
          <w:numId w:val="2"/>
        </w:numPr>
        <w:snapToGrid w:val="0"/>
        <w:spacing w:line="460" w:lineRule="atLeast"/>
        <w:ind w:left="737" w:hanging="964"/>
        <w:jc w:val="both"/>
      </w:pPr>
      <w:r>
        <w:rPr>
          <w:rFonts w:ascii="標楷體" w:eastAsia="標楷體" w:hAnsi="標楷體"/>
          <w:sz w:val="28"/>
          <w:szCs w:val="28"/>
        </w:rPr>
        <w:t>本要點相關行政作業，</w:t>
      </w:r>
      <w:proofErr w:type="gramStart"/>
      <w:r>
        <w:rPr>
          <w:rFonts w:ascii="標楷體" w:eastAsia="標楷體" w:hAnsi="標楷體"/>
          <w:sz w:val="28"/>
          <w:szCs w:val="28"/>
        </w:rPr>
        <w:t>本署必要</w:t>
      </w:r>
      <w:proofErr w:type="gramEnd"/>
      <w:r>
        <w:rPr>
          <w:rFonts w:ascii="標楷體" w:eastAsia="標楷體" w:hAnsi="標楷體"/>
          <w:sz w:val="28"/>
          <w:szCs w:val="28"/>
        </w:rPr>
        <w:t>時得委</w:t>
      </w:r>
      <w:proofErr w:type="gramStart"/>
      <w:r>
        <w:rPr>
          <w:rFonts w:ascii="標楷體" w:eastAsia="標楷體" w:hAnsi="標楷體"/>
          <w:sz w:val="28"/>
          <w:szCs w:val="28"/>
        </w:rPr>
        <w:t>由本署所</w:t>
      </w:r>
      <w:proofErr w:type="gramEnd"/>
      <w:r>
        <w:rPr>
          <w:rFonts w:ascii="標楷體" w:eastAsia="標楷體" w:hAnsi="標楷體"/>
          <w:sz w:val="28"/>
          <w:szCs w:val="28"/>
        </w:rPr>
        <w:t>屬國家風景區管理處、地方政府、民間機構或團體辦理。</w:t>
      </w:r>
    </w:p>
    <w:sectPr w:rsidR="00B520FD">
      <w:pgSz w:w="11906" w:h="16838"/>
      <w:pgMar w:top="1417" w:right="1417" w:bottom="1417" w:left="1701" w:header="0" w:footer="0" w:gutter="0"/>
      <w:cols w:space="720"/>
      <w:formProt w:val="0"/>
      <w:docGrid w:type="lines" w:linePitch="600" w:charSpace="-2867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altName w:val="Arial Unicode MS"/>
    <w:panose1 w:val="05010000000000000000"/>
    <w:charset w:val="88"/>
    <w:family w:val="auto"/>
    <w:pitch w:val="variable"/>
    <w:sig w:usb0="800000AF" w:usb1="1001ECEA" w:usb2="00000000" w:usb3="00000000" w:csb0="80000001" w:csb1="00000000"/>
  </w:font>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36954"/>
    <w:multiLevelType w:val="multilevel"/>
    <w:tmpl w:val="2BE0B6E4"/>
    <w:lvl w:ilvl="0">
      <w:start w:val="1"/>
      <w:numFmt w:val="decimal"/>
      <w:lvlText w:val="(%1)"/>
      <w:lvlJc w:val="center"/>
      <w:pPr>
        <w:tabs>
          <w:tab w:val="num" w:pos="0"/>
        </w:tabs>
        <w:ind w:left="810" w:hanging="480"/>
      </w:pPr>
    </w:lvl>
    <w:lvl w:ilvl="1">
      <w:start w:val="1"/>
      <w:numFmt w:val="taiwaneseCountingThousand"/>
      <w:lvlText w:val="（%2）"/>
      <w:lvlJc w:val="center"/>
      <w:pPr>
        <w:tabs>
          <w:tab w:val="num" w:pos="0"/>
        </w:tabs>
        <w:ind w:left="1290" w:hanging="480"/>
      </w:pPr>
      <w:rPr>
        <w:rFonts w:ascii="OpenSymbol" w:eastAsia="標楷體" w:hAnsi="OpenSymbol" w:cs="OpenSymbol"/>
        <w:sz w:val="28"/>
        <w:szCs w:val="28"/>
      </w:rPr>
    </w:lvl>
    <w:lvl w:ilvl="2">
      <w:start w:val="1"/>
      <w:numFmt w:val="lowerRoman"/>
      <w:lvlText w:val="%3."/>
      <w:lvlJc w:val="right"/>
      <w:pPr>
        <w:tabs>
          <w:tab w:val="num" w:pos="0"/>
        </w:tabs>
        <w:ind w:left="1770" w:hanging="480"/>
      </w:pPr>
    </w:lvl>
    <w:lvl w:ilvl="3">
      <w:start w:val="1"/>
      <w:numFmt w:val="decimal"/>
      <w:lvlText w:val="%4."/>
      <w:lvlJc w:val="left"/>
      <w:pPr>
        <w:tabs>
          <w:tab w:val="num" w:pos="0"/>
        </w:tabs>
        <w:ind w:left="2250" w:hanging="480"/>
      </w:pPr>
    </w:lvl>
    <w:lvl w:ilvl="4">
      <w:start w:val="1"/>
      <w:numFmt w:val="ideographTraditional"/>
      <w:lvlText w:val="%5、"/>
      <w:lvlJc w:val="left"/>
      <w:pPr>
        <w:tabs>
          <w:tab w:val="num" w:pos="0"/>
        </w:tabs>
        <w:ind w:left="2730" w:hanging="480"/>
      </w:pPr>
    </w:lvl>
    <w:lvl w:ilvl="5">
      <w:start w:val="1"/>
      <w:numFmt w:val="lowerRoman"/>
      <w:lvlText w:val="%6."/>
      <w:lvlJc w:val="right"/>
      <w:pPr>
        <w:tabs>
          <w:tab w:val="num" w:pos="0"/>
        </w:tabs>
        <w:ind w:left="3210" w:hanging="480"/>
      </w:pPr>
    </w:lvl>
    <w:lvl w:ilvl="6">
      <w:start w:val="1"/>
      <w:numFmt w:val="decimal"/>
      <w:lvlText w:val="%7."/>
      <w:lvlJc w:val="left"/>
      <w:pPr>
        <w:tabs>
          <w:tab w:val="num" w:pos="0"/>
        </w:tabs>
        <w:ind w:left="3690" w:hanging="480"/>
      </w:pPr>
    </w:lvl>
    <w:lvl w:ilvl="7">
      <w:start w:val="1"/>
      <w:numFmt w:val="ideographTraditional"/>
      <w:lvlText w:val="%8、"/>
      <w:lvlJc w:val="left"/>
      <w:pPr>
        <w:tabs>
          <w:tab w:val="num" w:pos="0"/>
        </w:tabs>
        <w:ind w:left="4170" w:hanging="480"/>
      </w:pPr>
    </w:lvl>
    <w:lvl w:ilvl="8">
      <w:start w:val="1"/>
      <w:numFmt w:val="lowerRoman"/>
      <w:lvlText w:val="%9."/>
      <w:lvlJc w:val="right"/>
      <w:pPr>
        <w:tabs>
          <w:tab w:val="num" w:pos="0"/>
        </w:tabs>
        <w:ind w:left="4650" w:hanging="480"/>
      </w:pPr>
    </w:lvl>
  </w:abstractNum>
  <w:abstractNum w:abstractNumId="1" w15:restartNumberingAfterBreak="0">
    <w:nsid w:val="5AB06DC8"/>
    <w:multiLevelType w:val="multilevel"/>
    <w:tmpl w:val="DC08A8A4"/>
    <w:lvl w:ilvl="0">
      <w:start w:val="1"/>
      <w:numFmt w:val="taiwaneseCountingThousand"/>
      <w:lvlText w:val="%1、"/>
      <w:lvlJc w:val="left"/>
      <w:pPr>
        <w:tabs>
          <w:tab w:val="num" w:pos="0"/>
        </w:tabs>
        <w:ind w:left="480" w:hanging="480"/>
      </w:pPr>
      <w:rPr>
        <w:rFonts w:ascii="OpenSymbol" w:eastAsia="標楷體" w:hAnsi="OpenSymbol" w:cs="OpenSymbol"/>
        <w:sz w:val="28"/>
        <w:szCs w:val="28"/>
      </w:rPr>
    </w:lvl>
    <w:lvl w:ilvl="1">
      <w:start w:val="1"/>
      <w:numFmt w:val="decimal"/>
      <w:lvlText w:val="（%2）"/>
      <w:lvlJc w:val="left"/>
      <w:pPr>
        <w:tabs>
          <w:tab w:val="num" w:pos="0"/>
        </w:tabs>
        <w:ind w:left="1560" w:hanging="10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 w15:restartNumberingAfterBreak="0">
    <w:nsid w:val="5EFF1C35"/>
    <w:multiLevelType w:val="multilevel"/>
    <w:tmpl w:val="ACEC56DC"/>
    <w:lvl w:ilvl="0">
      <w:start w:val="1"/>
      <w:numFmt w:val="decimal"/>
      <w:suff w:val="nothing"/>
      <w:lvlText w:val="%1."/>
      <w:lvlJc w:val="left"/>
      <w:pPr>
        <w:tabs>
          <w:tab w:val="num" w:pos="0"/>
        </w:tabs>
        <w:ind w:left="720" w:hanging="360"/>
      </w:pPr>
      <w:rPr>
        <w:rFonts w:ascii="OpenSymbol" w:eastAsia="標楷體" w:hAnsi="OpenSymbol" w:cs="OpenSymbol"/>
        <w:sz w:val="20"/>
        <w:szCs w:val="20"/>
      </w:rPr>
    </w:lvl>
    <w:lvl w:ilvl="1">
      <w:start w:val="1"/>
      <w:numFmt w:val="decimal"/>
      <w:suff w:val="nothing"/>
      <w:lvlText w:val="%2."/>
      <w:lvlJc w:val="left"/>
      <w:pPr>
        <w:tabs>
          <w:tab w:val="num" w:pos="0"/>
        </w:tabs>
        <w:ind w:left="1080" w:hanging="360"/>
      </w:pPr>
      <w:rPr>
        <w:rFonts w:eastAsia="標楷體"/>
        <w:sz w:val="20"/>
        <w:szCs w:val="20"/>
      </w:rPr>
    </w:lvl>
    <w:lvl w:ilvl="2">
      <w:start w:val="1"/>
      <w:numFmt w:val="decimal"/>
      <w:suff w:val="nothing"/>
      <w:lvlText w:val="%3."/>
      <w:lvlJc w:val="left"/>
      <w:pPr>
        <w:tabs>
          <w:tab w:val="num" w:pos="0"/>
        </w:tabs>
        <w:ind w:left="1440" w:hanging="360"/>
      </w:pPr>
      <w:rPr>
        <w:rFonts w:eastAsia="標楷體"/>
        <w:sz w:val="20"/>
        <w:szCs w:val="20"/>
      </w:rPr>
    </w:lvl>
    <w:lvl w:ilvl="3">
      <w:start w:val="1"/>
      <w:numFmt w:val="decimal"/>
      <w:suff w:val="nothing"/>
      <w:lvlText w:val="%4."/>
      <w:lvlJc w:val="left"/>
      <w:pPr>
        <w:tabs>
          <w:tab w:val="num" w:pos="0"/>
        </w:tabs>
        <w:ind w:left="1800" w:hanging="360"/>
      </w:pPr>
      <w:rPr>
        <w:rFonts w:eastAsia="標楷體"/>
        <w:sz w:val="20"/>
        <w:szCs w:val="20"/>
      </w:rPr>
    </w:lvl>
    <w:lvl w:ilvl="4">
      <w:start w:val="1"/>
      <w:numFmt w:val="decimal"/>
      <w:suff w:val="nothing"/>
      <w:lvlText w:val="%5."/>
      <w:lvlJc w:val="left"/>
      <w:pPr>
        <w:tabs>
          <w:tab w:val="num" w:pos="0"/>
        </w:tabs>
        <w:ind w:left="2160" w:hanging="360"/>
      </w:pPr>
      <w:rPr>
        <w:rFonts w:eastAsia="標楷體"/>
        <w:sz w:val="20"/>
        <w:szCs w:val="20"/>
      </w:rPr>
    </w:lvl>
    <w:lvl w:ilvl="5">
      <w:start w:val="1"/>
      <w:numFmt w:val="decimal"/>
      <w:suff w:val="nothing"/>
      <w:lvlText w:val="%6."/>
      <w:lvlJc w:val="left"/>
      <w:pPr>
        <w:tabs>
          <w:tab w:val="num" w:pos="0"/>
        </w:tabs>
        <w:ind w:left="2520" w:hanging="360"/>
      </w:pPr>
      <w:rPr>
        <w:rFonts w:eastAsia="標楷體"/>
        <w:sz w:val="20"/>
        <w:szCs w:val="20"/>
      </w:rPr>
    </w:lvl>
    <w:lvl w:ilvl="6">
      <w:start w:val="1"/>
      <w:numFmt w:val="decimal"/>
      <w:suff w:val="nothing"/>
      <w:lvlText w:val="%7."/>
      <w:lvlJc w:val="left"/>
      <w:pPr>
        <w:tabs>
          <w:tab w:val="num" w:pos="0"/>
        </w:tabs>
        <w:ind w:left="2880" w:hanging="360"/>
      </w:pPr>
      <w:rPr>
        <w:rFonts w:eastAsia="標楷體"/>
        <w:sz w:val="20"/>
        <w:szCs w:val="20"/>
      </w:rPr>
    </w:lvl>
    <w:lvl w:ilvl="7">
      <w:start w:val="1"/>
      <w:numFmt w:val="decimal"/>
      <w:suff w:val="nothing"/>
      <w:lvlText w:val="%8."/>
      <w:lvlJc w:val="left"/>
      <w:pPr>
        <w:tabs>
          <w:tab w:val="num" w:pos="0"/>
        </w:tabs>
        <w:ind w:left="3240" w:hanging="360"/>
      </w:pPr>
      <w:rPr>
        <w:rFonts w:eastAsia="標楷體"/>
        <w:sz w:val="20"/>
        <w:szCs w:val="20"/>
      </w:rPr>
    </w:lvl>
    <w:lvl w:ilvl="8">
      <w:start w:val="1"/>
      <w:numFmt w:val="decimal"/>
      <w:suff w:val="nothing"/>
      <w:lvlText w:val="%9."/>
      <w:lvlJc w:val="left"/>
      <w:pPr>
        <w:tabs>
          <w:tab w:val="num" w:pos="0"/>
        </w:tabs>
        <w:ind w:left="3600" w:hanging="360"/>
      </w:pPr>
      <w:rPr>
        <w:rFonts w:eastAsia="標楷體"/>
        <w:sz w:val="20"/>
        <w:szCs w:val="20"/>
      </w:rPr>
    </w:lvl>
  </w:abstractNum>
  <w:abstractNum w:abstractNumId="3" w15:restartNumberingAfterBreak="0">
    <w:nsid w:val="6EB61815"/>
    <w:multiLevelType w:val="multilevel"/>
    <w:tmpl w:val="2D1E25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1"/>
  </w:num>
  <w:num w:numId="3">
    <w:abstractNumId w:val="0"/>
  </w:num>
  <w:num w:numId="4">
    <w:abstractNumId w:val="3"/>
  </w:num>
  <w:num w:numId="5">
    <w:abstractNumId w:val="0"/>
    <w:lvlOverride w:ilvl="1">
      <w:startOverride w:val="1"/>
    </w:lvlOverride>
  </w:num>
  <w:num w:numId="6">
    <w:abstractNumId w:val="0"/>
    <w:lvlOverride w:ilvl="1">
      <w:startOverride w:val="1"/>
    </w:lvlOverride>
  </w:num>
  <w:num w:numId="7">
    <w:abstractNumId w:val="0"/>
    <w:lvlOverride w:ilvl="1">
      <w:startOverride w:val="1"/>
    </w:lvlOverride>
  </w:num>
  <w:num w:numId="8">
    <w:abstractNumId w:val="0"/>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80"/>
  <w:autoHyphenation/>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0FD"/>
    <w:rsid w:val="00B520FD"/>
    <w:rsid w:val="00DB60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69181"/>
  <w15:docId w15:val="{D0F4D5E7-F858-4733-BCD0-3C18425F8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2"/>
        <w:sz w:val="24"/>
        <w:szCs w:val="22"/>
        <w:lang w:val="en-US" w:eastAsia="zh-TW" w:bidi="ar-SA"/>
      </w:rPr>
    </w:rPrDefault>
    <w:pPrDefault>
      <w:pPr>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qFormat/>
    <w:rPr>
      <w:sz w:val="18"/>
      <w:szCs w:val="18"/>
    </w:rPr>
  </w:style>
  <w:style w:type="character" w:customStyle="1" w:styleId="a4">
    <w:name w:val="註解文字 字元"/>
    <w:basedOn w:val="a0"/>
    <w:qFormat/>
  </w:style>
  <w:style w:type="character" w:customStyle="1" w:styleId="a5">
    <w:name w:val="註解主旨 字元"/>
    <w:basedOn w:val="a4"/>
    <w:qFormat/>
    <w:rPr>
      <w:b/>
      <w:bCs/>
    </w:rPr>
  </w:style>
  <w:style w:type="character" w:customStyle="1" w:styleId="a6">
    <w:name w:val="註解方塊文字 字元"/>
    <w:basedOn w:val="a0"/>
    <w:qFormat/>
    <w:rPr>
      <w:rFonts w:ascii="Calibri Light" w:eastAsia="新細明體" w:hAnsi="Calibri Light" w:cs="Times New Roman"/>
      <w:sz w:val="18"/>
      <w:szCs w:val="18"/>
    </w:rPr>
  </w:style>
  <w:style w:type="character" w:customStyle="1" w:styleId="a7">
    <w:name w:val="頁首 字元"/>
    <w:basedOn w:val="a0"/>
    <w:qFormat/>
    <w:rPr>
      <w:sz w:val="20"/>
      <w:szCs w:val="20"/>
    </w:rPr>
  </w:style>
  <w:style w:type="character" w:customStyle="1" w:styleId="a8">
    <w:name w:val="頁尾 字元"/>
    <w:basedOn w:val="a0"/>
    <w:qFormat/>
    <w:rPr>
      <w:sz w:val="20"/>
      <w:szCs w:val="20"/>
    </w:rPr>
  </w:style>
  <w:style w:type="character" w:styleId="a9">
    <w:name w:val="Hyperlink"/>
    <w:basedOn w:val="a0"/>
    <w:qFormat/>
    <w:rPr>
      <w:color w:val="0563C1"/>
      <w:u w:val="single"/>
    </w:rPr>
  </w:style>
  <w:style w:type="character" w:styleId="aa">
    <w:name w:val="Unresolved Mention"/>
    <w:basedOn w:val="a0"/>
    <w:qFormat/>
    <w:rPr>
      <w:color w:val="605E5C"/>
      <w:shd w:val="clear" w:color="auto" w:fill="E1DFDD"/>
    </w:rPr>
  </w:style>
  <w:style w:type="character" w:customStyle="1" w:styleId="ab">
    <w:name w:val="編號字元"/>
    <w:qFormat/>
    <w:rPr>
      <w:rFonts w:eastAsia="標楷體"/>
      <w:sz w:val="20"/>
      <w:szCs w:val="20"/>
    </w:rPr>
  </w:style>
  <w:style w:type="character" w:customStyle="1" w:styleId="1">
    <w:name w:val="項目符號1"/>
    <w:qFormat/>
    <w:rPr>
      <w:rFonts w:ascii="OpenSymbol" w:eastAsia="標楷體" w:hAnsi="OpenSymbol" w:cs="OpenSymbol"/>
      <w:sz w:val="28"/>
      <w:szCs w:val="28"/>
    </w:rPr>
  </w:style>
  <w:style w:type="character" w:customStyle="1" w:styleId="WWCharLFO1LVL1">
    <w:name w:val="WW_CharLFO1LVL1"/>
    <w:qFormat/>
    <w:rPr>
      <w:rFonts w:ascii="OpenSymbol" w:eastAsia="標楷體" w:hAnsi="OpenSymbol" w:cs="OpenSymbol"/>
      <w:sz w:val="20"/>
      <w:szCs w:val="20"/>
    </w:rPr>
  </w:style>
  <w:style w:type="character" w:customStyle="1" w:styleId="WWCharLFO1LVL2">
    <w:name w:val="WW_CharLFO1LVL2"/>
    <w:qFormat/>
    <w:rPr>
      <w:rFonts w:eastAsia="標楷體"/>
      <w:sz w:val="20"/>
      <w:szCs w:val="20"/>
    </w:rPr>
  </w:style>
  <w:style w:type="character" w:customStyle="1" w:styleId="WWCharLFO1LVL3">
    <w:name w:val="WW_CharLFO1LVL3"/>
    <w:qFormat/>
    <w:rPr>
      <w:rFonts w:eastAsia="標楷體"/>
      <w:sz w:val="20"/>
      <w:szCs w:val="20"/>
    </w:rPr>
  </w:style>
  <w:style w:type="character" w:customStyle="1" w:styleId="WWCharLFO1LVL4">
    <w:name w:val="WW_CharLFO1LVL4"/>
    <w:qFormat/>
    <w:rPr>
      <w:rFonts w:eastAsia="標楷體"/>
      <w:sz w:val="20"/>
      <w:szCs w:val="20"/>
    </w:rPr>
  </w:style>
  <w:style w:type="character" w:customStyle="1" w:styleId="WWCharLFO1LVL5">
    <w:name w:val="WW_CharLFO1LVL5"/>
    <w:qFormat/>
    <w:rPr>
      <w:rFonts w:eastAsia="標楷體"/>
      <w:sz w:val="20"/>
      <w:szCs w:val="20"/>
    </w:rPr>
  </w:style>
  <w:style w:type="character" w:customStyle="1" w:styleId="WWCharLFO1LVL6">
    <w:name w:val="WW_CharLFO1LVL6"/>
    <w:qFormat/>
    <w:rPr>
      <w:rFonts w:eastAsia="標楷體"/>
      <w:sz w:val="20"/>
      <w:szCs w:val="20"/>
    </w:rPr>
  </w:style>
  <w:style w:type="character" w:customStyle="1" w:styleId="WWCharLFO1LVL7">
    <w:name w:val="WW_CharLFO1LVL7"/>
    <w:qFormat/>
    <w:rPr>
      <w:rFonts w:eastAsia="標楷體"/>
      <w:sz w:val="20"/>
      <w:szCs w:val="20"/>
    </w:rPr>
  </w:style>
  <w:style w:type="character" w:customStyle="1" w:styleId="WWCharLFO1LVL8">
    <w:name w:val="WW_CharLFO1LVL8"/>
    <w:qFormat/>
    <w:rPr>
      <w:rFonts w:eastAsia="標楷體"/>
      <w:sz w:val="20"/>
      <w:szCs w:val="20"/>
    </w:rPr>
  </w:style>
  <w:style w:type="character" w:customStyle="1" w:styleId="WWCharLFO1LVL9">
    <w:name w:val="WW_CharLFO1LVL9"/>
    <w:qFormat/>
    <w:rPr>
      <w:rFonts w:eastAsia="標楷體"/>
      <w:sz w:val="20"/>
      <w:szCs w:val="20"/>
    </w:rPr>
  </w:style>
  <w:style w:type="character" w:customStyle="1" w:styleId="WWCharLFO2LVL1">
    <w:name w:val="WW_CharLFO2LVL1"/>
    <w:qFormat/>
    <w:rPr>
      <w:rFonts w:ascii="OpenSymbol" w:eastAsia="標楷體" w:hAnsi="OpenSymbol" w:cs="OpenSymbol"/>
      <w:sz w:val="28"/>
      <w:szCs w:val="28"/>
    </w:rPr>
  </w:style>
  <w:style w:type="character" w:customStyle="1" w:styleId="WWCharLFO3LVL2">
    <w:name w:val="WW_CharLFO3LVL2"/>
    <w:qFormat/>
    <w:rPr>
      <w:rFonts w:eastAsia="標楷體"/>
      <w:sz w:val="32"/>
      <w:szCs w:val="32"/>
    </w:rPr>
  </w:style>
  <w:style w:type="paragraph" w:styleId="ac">
    <w:name w:val="Body Text"/>
    <w:pPr>
      <w:widowControl w:val="0"/>
      <w:suppressAutoHyphens/>
    </w:pPr>
  </w:style>
  <w:style w:type="paragraph" w:styleId="ad">
    <w:name w:val="List Paragraph"/>
    <w:basedOn w:val="ac"/>
    <w:qFormat/>
    <w:pPr>
      <w:ind w:left="480"/>
    </w:pPr>
  </w:style>
  <w:style w:type="paragraph" w:styleId="ae">
    <w:name w:val="annotation text"/>
    <w:basedOn w:val="ac"/>
    <w:qFormat/>
  </w:style>
  <w:style w:type="paragraph" w:styleId="af">
    <w:name w:val="annotation subject"/>
    <w:basedOn w:val="ae"/>
    <w:next w:val="ae"/>
    <w:qFormat/>
    <w:rPr>
      <w:b/>
      <w:bCs/>
    </w:rPr>
  </w:style>
  <w:style w:type="paragraph" w:styleId="af0">
    <w:name w:val="Balloon Text"/>
    <w:basedOn w:val="ac"/>
    <w:qFormat/>
    <w:rPr>
      <w:rFonts w:ascii="Calibri Light" w:eastAsia="Calibri Light" w:hAnsi="Calibri Light" w:cs="Calibri Light"/>
      <w:sz w:val="18"/>
      <w:szCs w:val="18"/>
    </w:rPr>
  </w:style>
  <w:style w:type="paragraph" w:customStyle="1" w:styleId="af1">
    <w:name w:val="頁首與頁尾"/>
    <w:basedOn w:val="a"/>
    <w:qFormat/>
    <w:pPr>
      <w:suppressLineNumbers/>
      <w:tabs>
        <w:tab w:val="center" w:pos="4819"/>
        <w:tab w:val="right" w:pos="9638"/>
      </w:tabs>
    </w:pPr>
  </w:style>
  <w:style w:type="paragraph" w:styleId="af2">
    <w:name w:val="header"/>
    <w:basedOn w:val="ac"/>
    <w:pPr>
      <w:tabs>
        <w:tab w:val="center" w:pos="4153"/>
        <w:tab w:val="right" w:pos="8306"/>
      </w:tabs>
      <w:snapToGrid w:val="0"/>
    </w:pPr>
    <w:rPr>
      <w:sz w:val="20"/>
      <w:szCs w:val="20"/>
    </w:rPr>
  </w:style>
  <w:style w:type="paragraph" w:styleId="af3">
    <w:name w:val="footer"/>
    <w:basedOn w:val="ac"/>
    <w:pPr>
      <w:tabs>
        <w:tab w:val="center" w:pos="4153"/>
        <w:tab w:val="right" w:pos="8306"/>
      </w:tabs>
      <w:snapToGrid w:val="0"/>
    </w:pPr>
    <w:rPr>
      <w:sz w:val="20"/>
      <w:szCs w:val="20"/>
    </w:rPr>
  </w:style>
  <w:style w:type="paragraph" w:styleId="Web">
    <w:name w:val="Normal (Web)"/>
    <w:basedOn w:val="ac"/>
    <w:qFormat/>
    <w:pPr>
      <w:widowControl/>
      <w:spacing w:before="280" w:after="142" w:line="288" w:lineRule="auto"/>
    </w:pPr>
    <w:rPr>
      <w:rFonts w:ascii="新細明體" w:hAnsi="新細明體" w:cs="新細明體"/>
      <w:kern w:val="0"/>
      <w:szCs w:val="24"/>
    </w:rPr>
  </w:style>
  <w:style w:type="paragraph" w:customStyle="1" w:styleId="10">
    <w:name w:val="表格內文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3</Pages>
  <Words>236</Words>
  <Characters>1350</Characters>
  <Application>Microsoft Office Word</Application>
  <DocSecurity>0</DocSecurity>
  <Lines>11</Lines>
  <Paragraphs>3</Paragraphs>
  <ScaleCrop>false</ScaleCrop>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陳冠樺</dc:creator>
  <dc:description/>
  <cp:lastModifiedBy>陳冠樺</cp:lastModifiedBy>
  <cp:revision>31</cp:revision>
  <cp:lastPrinted>2023-04-14T11:01:00Z</cp:lastPrinted>
  <dcterms:created xsi:type="dcterms:W3CDTF">2023-09-05T01:21:00Z</dcterms:created>
  <dcterms:modified xsi:type="dcterms:W3CDTF">2025-06-26T01:24:00Z</dcterms:modified>
  <dc:language>zh-TW</dc:language>
</cp:coreProperties>
</file>