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9F16F" w14:textId="77777777" w:rsidR="0032343A" w:rsidRDefault="0032343A" w:rsidP="0032343A">
      <w:pPr>
        <w:widowControl/>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Directions Regarding the Use of Facilities at the </w:t>
      </w:r>
      <w:bookmarkStart w:id="0" w:name="_GoBack"/>
      <w:bookmarkEnd w:id="0"/>
      <w:proofErr w:type="spellStart"/>
      <w:r>
        <w:rPr>
          <w:rFonts w:ascii="Times New Roman" w:eastAsia="Times New Roman" w:hAnsi="Times New Roman" w:cs="Times New Roman"/>
          <w:sz w:val="40"/>
          <w:szCs w:val="40"/>
        </w:rPr>
        <w:t>Dapeng</w:t>
      </w:r>
      <w:proofErr w:type="spellEnd"/>
      <w:r>
        <w:rPr>
          <w:rFonts w:ascii="Times New Roman" w:eastAsia="Times New Roman" w:hAnsi="Times New Roman" w:cs="Times New Roman"/>
          <w:sz w:val="40"/>
          <w:szCs w:val="40"/>
        </w:rPr>
        <w:t xml:space="preserve"> Bay Marina</w:t>
      </w:r>
    </w:p>
    <w:p w14:paraId="2CB01142" w14:textId="77777777" w:rsidR="0032343A" w:rsidRDefault="0032343A" w:rsidP="0032343A">
      <w:pPr>
        <w:widowControl/>
        <w:jc w:val="center"/>
        <w:rPr>
          <w:rFonts w:ascii="Times New Roman" w:eastAsia="Times New Roman" w:hAnsi="Times New Roman" w:cs="Times New Roman"/>
          <w:sz w:val="20"/>
          <w:szCs w:val="20"/>
        </w:rPr>
      </w:pPr>
    </w:p>
    <w:p w14:paraId="7992D3F6" w14:textId="447CDD20" w:rsidR="0032343A" w:rsidRDefault="005E17CE" w:rsidP="0032343A">
      <w:pPr>
        <w:widowControl/>
        <w:numPr>
          <w:ilvl w:val="0"/>
          <w:numId w:val="1"/>
        </w:numPr>
        <w:spacing w:line="460" w:lineRule="auto"/>
        <w:ind w:left="567"/>
        <w:jc w:val="both"/>
        <w:rPr>
          <w:rFonts w:ascii="Times New Roman" w:eastAsia="Times New Roman" w:hAnsi="Times New Roman" w:cs="Times New Roman"/>
          <w:sz w:val="28"/>
          <w:szCs w:val="28"/>
        </w:rPr>
      </w:pPr>
      <w:r w:rsidRPr="005E17CE">
        <w:rPr>
          <w:rFonts w:ascii="Times New Roman" w:eastAsia="Times New Roman" w:hAnsi="Times New Roman" w:cs="Times New Roman"/>
          <w:sz w:val="28"/>
          <w:szCs w:val="28"/>
        </w:rPr>
        <w:t xml:space="preserve">To maintain order and safety at the </w:t>
      </w:r>
      <w:proofErr w:type="spellStart"/>
      <w:r w:rsidRPr="005E17CE">
        <w:rPr>
          <w:rFonts w:ascii="Times New Roman" w:eastAsia="Times New Roman" w:hAnsi="Times New Roman" w:cs="Times New Roman"/>
          <w:sz w:val="28"/>
          <w:szCs w:val="28"/>
        </w:rPr>
        <w:t>Dapeng</w:t>
      </w:r>
      <w:proofErr w:type="spellEnd"/>
      <w:r w:rsidRPr="005E17CE">
        <w:rPr>
          <w:rFonts w:ascii="Times New Roman" w:eastAsia="Times New Roman" w:hAnsi="Times New Roman" w:cs="Times New Roman"/>
          <w:sz w:val="28"/>
          <w:szCs w:val="28"/>
        </w:rPr>
        <w:t xml:space="preserve"> Bay Marina facilities and facilitate vessel berthing and passenger boarding and disembarking, the </w:t>
      </w:r>
      <w:proofErr w:type="spellStart"/>
      <w:r w:rsidRPr="005E17CE">
        <w:rPr>
          <w:rFonts w:ascii="Times New Roman" w:eastAsia="Times New Roman" w:hAnsi="Times New Roman" w:cs="Times New Roman"/>
          <w:sz w:val="28"/>
          <w:szCs w:val="28"/>
        </w:rPr>
        <w:t>Dapeng</w:t>
      </w:r>
      <w:proofErr w:type="spellEnd"/>
      <w:r w:rsidRPr="005E17CE">
        <w:rPr>
          <w:rFonts w:ascii="Times New Roman" w:eastAsia="Times New Roman" w:hAnsi="Times New Roman" w:cs="Times New Roman"/>
          <w:sz w:val="28"/>
          <w:szCs w:val="28"/>
        </w:rPr>
        <w:t xml:space="preserve"> Bay National Scenic Area Headquarters, Tourism Administration, Ministry of Transportation and Communications (hereinafter referred to as “the Headquarters”), hereby establishes these directions.</w:t>
      </w:r>
      <w:r w:rsidR="0032343A">
        <w:rPr>
          <w:rFonts w:ascii="Times New Roman" w:eastAsia="Times New Roman" w:hAnsi="Times New Roman" w:cs="Times New Roman"/>
          <w:sz w:val="28"/>
          <w:szCs w:val="28"/>
        </w:rPr>
        <w:t>.</w:t>
      </w:r>
    </w:p>
    <w:p w14:paraId="10DA6D0C" w14:textId="77777777" w:rsidR="0032343A" w:rsidRDefault="0032343A" w:rsidP="0032343A">
      <w:pPr>
        <w:widowControl/>
        <w:numPr>
          <w:ilvl w:val="0"/>
          <w:numId w:val="1"/>
        </w:numPr>
        <w:spacing w:line="4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Dapeng</w:t>
      </w:r>
      <w:proofErr w:type="spellEnd"/>
      <w:r>
        <w:rPr>
          <w:rFonts w:ascii="Times New Roman" w:eastAsia="Times New Roman" w:hAnsi="Times New Roman" w:cs="Times New Roman"/>
          <w:sz w:val="28"/>
          <w:szCs w:val="28"/>
        </w:rPr>
        <w:t xml:space="preserve"> Bay Marina area (hereinafter referred to as berthing area) referred to in these directions is located as detailed in the attachment.</w:t>
      </w:r>
    </w:p>
    <w:p w14:paraId="26960F65" w14:textId="77777777" w:rsidR="0032343A" w:rsidRDefault="0032343A" w:rsidP="0032343A">
      <w:pPr>
        <w:widowControl/>
        <w:numPr>
          <w:ilvl w:val="0"/>
          <w:numId w:val="1"/>
        </w:numPr>
        <w:spacing w:line="4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Those applying for a berth shall follow the Directions Regarding Leased Berths and Other Facilities at the </w:t>
      </w:r>
      <w:proofErr w:type="spellStart"/>
      <w:r>
        <w:rPr>
          <w:rFonts w:ascii="Times New Roman" w:eastAsia="Times New Roman" w:hAnsi="Times New Roman" w:cs="Times New Roman"/>
          <w:sz w:val="28"/>
          <w:szCs w:val="28"/>
        </w:rPr>
        <w:t>Dapeng</w:t>
      </w:r>
      <w:proofErr w:type="spellEnd"/>
      <w:r>
        <w:rPr>
          <w:rFonts w:ascii="Times New Roman" w:eastAsia="Times New Roman" w:hAnsi="Times New Roman" w:cs="Times New Roman"/>
          <w:sz w:val="28"/>
          <w:szCs w:val="28"/>
        </w:rPr>
        <w:t xml:space="preserve"> Bay Marina and submit an application to the Headquarters for review. If the application is approved, the applicant shall pay berthing fees and other fees as required. Past due payments are considered grounds for forfeiture of all rights under the application.</w:t>
      </w:r>
    </w:p>
    <w:p w14:paraId="65D96BB5" w14:textId="3E16FD61" w:rsidR="0032343A" w:rsidRDefault="0032343A" w:rsidP="0032343A">
      <w:pPr>
        <w:widowControl/>
        <w:numPr>
          <w:ilvl w:val="0"/>
          <w:numId w:val="1"/>
        </w:numPr>
        <w:spacing w:line="4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Upon entering the waters of </w:t>
      </w:r>
      <w:proofErr w:type="spellStart"/>
      <w:r>
        <w:rPr>
          <w:rFonts w:ascii="Times New Roman" w:eastAsia="Times New Roman" w:hAnsi="Times New Roman" w:cs="Times New Roman"/>
          <w:sz w:val="28"/>
          <w:szCs w:val="28"/>
        </w:rPr>
        <w:t>Dapeng</w:t>
      </w:r>
      <w:proofErr w:type="spellEnd"/>
      <w:r>
        <w:rPr>
          <w:rFonts w:ascii="Times New Roman" w:eastAsia="Times New Roman" w:hAnsi="Times New Roman" w:cs="Times New Roman"/>
          <w:sz w:val="28"/>
          <w:szCs w:val="28"/>
        </w:rPr>
        <w:t xml:space="preserve"> Bay, a vessel may proceed at a speed of up to 10 knots; upon entering the berthing area, the speed limit is five knots (9.2</w:t>
      </w:r>
      <w:r w:rsidR="005E17CE">
        <w:rPr>
          <w:rFonts w:ascii="Times New Roman" w:eastAsia="Times New Roman" w:hAnsi="Times New Roman" w:cs="Times New Roman"/>
          <w:sz w:val="28"/>
          <w:szCs w:val="28"/>
        </w:rPr>
        <w:t>6</w:t>
      </w:r>
      <w:r>
        <w:rPr>
          <w:rFonts w:ascii="Times New Roman" w:eastAsia="Times New Roman" w:hAnsi="Times New Roman" w:cs="Times New Roman"/>
          <w:sz w:val="28"/>
          <w:szCs w:val="28"/>
        </w:rPr>
        <w:t>km/h). The applicant is responsible for legal damages for damage to facilities at the berthing area or injuries or deaths to personnel.</w:t>
      </w:r>
    </w:p>
    <w:p w14:paraId="6105ECAC" w14:textId="57A33A81" w:rsidR="0032343A" w:rsidRDefault="005E17CE" w:rsidP="0032343A">
      <w:pPr>
        <w:widowControl/>
        <w:numPr>
          <w:ilvl w:val="0"/>
          <w:numId w:val="1"/>
        </w:numPr>
        <w:spacing w:line="460" w:lineRule="auto"/>
        <w:ind w:left="567"/>
        <w:jc w:val="both"/>
        <w:rPr>
          <w:rFonts w:ascii="Times New Roman" w:eastAsia="Times New Roman" w:hAnsi="Times New Roman" w:cs="Times New Roman"/>
          <w:sz w:val="28"/>
          <w:szCs w:val="28"/>
        </w:rPr>
      </w:pPr>
      <w:r w:rsidRPr="005E17CE">
        <w:rPr>
          <w:rFonts w:ascii="Times New Roman" w:eastAsia="Times New Roman" w:hAnsi="Times New Roman" w:cs="Times New Roman"/>
          <w:sz w:val="28"/>
          <w:szCs w:val="28"/>
        </w:rPr>
        <w:lastRenderedPageBreak/>
        <w:t>The following actions are prohibited within the berthing area without prior approval from the Headquarters</w:t>
      </w:r>
      <w:r w:rsidR="0032343A">
        <w:rPr>
          <w:rFonts w:ascii="Times New Roman" w:eastAsia="Times New Roman" w:hAnsi="Times New Roman" w:cs="Times New Roman"/>
          <w:sz w:val="28"/>
          <w:szCs w:val="28"/>
        </w:rPr>
        <w:t xml:space="preserve">: </w:t>
      </w:r>
    </w:p>
    <w:p w14:paraId="3B556E3B" w14:textId="77777777" w:rsidR="0032343A" w:rsidRDefault="0032343A" w:rsidP="0032343A">
      <w:pPr>
        <w:widowControl/>
        <w:numPr>
          <w:ilvl w:val="0"/>
          <w:numId w:val="3"/>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Tying mooring ropes to dock facilities other than the designated bollards at the assigned berth. </w:t>
      </w:r>
    </w:p>
    <w:p w14:paraId="5772AEEA" w14:textId="77777777" w:rsidR="0032343A" w:rsidRDefault="0032343A" w:rsidP="0032343A">
      <w:pPr>
        <w:widowControl/>
        <w:numPr>
          <w:ilvl w:val="0"/>
          <w:numId w:val="3"/>
        </w:numPr>
        <w:spacing w:line="460" w:lineRule="auto"/>
        <w:rPr>
          <w:rFonts w:ascii="Arial" w:eastAsia="Arial" w:hAnsi="Arial" w:cs="Arial"/>
          <w:sz w:val="22"/>
          <w:szCs w:val="22"/>
        </w:rPr>
      </w:pPr>
      <w:r>
        <w:rPr>
          <w:rFonts w:ascii="Times New Roman" w:eastAsia="Times New Roman" w:hAnsi="Times New Roman" w:cs="Times New Roman"/>
          <w:sz w:val="28"/>
          <w:szCs w:val="28"/>
        </w:rPr>
        <w:t>Berthing at a location different from the designated berth without permission is prohibited</w:t>
      </w:r>
    </w:p>
    <w:p w14:paraId="65AD2CE9" w14:textId="77777777" w:rsidR="0032343A" w:rsidRDefault="0032343A" w:rsidP="0032343A">
      <w:pPr>
        <w:widowControl/>
        <w:numPr>
          <w:ilvl w:val="0"/>
          <w:numId w:val="3"/>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Placing items, trash, or installing structures on floating piers, main or auxiliary walkways, or within the berthing area </w:t>
      </w:r>
    </w:p>
    <w:p w14:paraId="3FA0C1AF" w14:textId="77777777" w:rsidR="0032343A" w:rsidRDefault="0032343A" w:rsidP="0032343A">
      <w:pPr>
        <w:widowControl/>
        <w:numPr>
          <w:ilvl w:val="0"/>
          <w:numId w:val="3"/>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Using the berthing area for vessel repair, modification, or other improvement work </w:t>
      </w:r>
    </w:p>
    <w:p w14:paraId="153324A7" w14:textId="57562DB3" w:rsidR="0032343A" w:rsidRDefault="005E17CE" w:rsidP="0032343A">
      <w:pPr>
        <w:widowControl/>
        <w:numPr>
          <w:ilvl w:val="0"/>
          <w:numId w:val="3"/>
        </w:numPr>
        <w:spacing w:line="460" w:lineRule="auto"/>
        <w:rPr>
          <w:rFonts w:ascii="Arial" w:eastAsia="Arial" w:hAnsi="Arial" w:cs="Arial"/>
          <w:sz w:val="22"/>
          <w:szCs w:val="22"/>
        </w:rPr>
      </w:pPr>
      <w:r w:rsidRPr="005E17CE">
        <w:rPr>
          <w:rFonts w:ascii="Times New Roman" w:eastAsia="Times New Roman" w:hAnsi="Times New Roman" w:cs="Times New Roman"/>
          <w:sz w:val="28"/>
          <w:szCs w:val="28"/>
        </w:rPr>
        <w:t>Fuel-powered vehicles, including motorcycles and cars, may only enter the berthing area for supply purposes, and must</w:t>
      </w:r>
      <w:r w:rsidR="0032343A">
        <w:rPr>
          <w:rFonts w:ascii="Times New Roman" w:eastAsia="Times New Roman" w:hAnsi="Times New Roman" w:cs="Times New Roman"/>
          <w:sz w:val="28"/>
          <w:szCs w:val="28"/>
        </w:rPr>
        <w:t xml:space="preserve"> coordinate with on-site management personnel and park in assigned spaces, complete the resupply operation within 10 minutes, and immediately move the vehicle to the parking lot. </w:t>
      </w:r>
    </w:p>
    <w:p w14:paraId="6611D87B" w14:textId="49D8FE02" w:rsidR="0032343A" w:rsidRDefault="005E17CE" w:rsidP="0032343A">
      <w:pPr>
        <w:widowControl/>
        <w:numPr>
          <w:ilvl w:val="0"/>
          <w:numId w:val="3"/>
        </w:numPr>
        <w:spacing w:line="460" w:lineRule="auto"/>
        <w:rPr>
          <w:rFonts w:ascii="Arial" w:eastAsia="Arial" w:hAnsi="Arial" w:cs="Arial"/>
          <w:sz w:val="22"/>
          <w:szCs w:val="22"/>
        </w:rPr>
      </w:pPr>
      <w:r w:rsidRPr="005E17CE">
        <w:rPr>
          <w:rFonts w:ascii="Times New Roman" w:eastAsia="Times New Roman" w:hAnsi="Times New Roman" w:cs="Times New Roman"/>
          <w:sz w:val="28"/>
          <w:szCs w:val="28"/>
        </w:rPr>
        <w:t>Engaging in fishing, aquaculture, casting nets, swimming, barbecuing, or smoking</w:t>
      </w:r>
      <w:r w:rsidR="0032343A">
        <w:rPr>
          <w:rFonts w:ascii="Times New Roman" w:eastAsia="Times New Roman" w:hAnsi="Times New Roman" w:cs="Times New Roman"/>
          <w:sz w:val="28"/>
          <w:szCs w:val="28"/>
        </w:rPr>
        <w:t xml:space="preserve"> </w:t>
      </w:r>
    </w:p>
    <w:p w14:paraId="55AAE144" w14:textId="7737AD4B" w:rsidR="0032343A" w:rsidRDefault="005E17CE" w:rsidP="0032343A">
      <w:pPr>
        <w:widowControl/>
        <w:numPr>
          <w:ilvl w:val="0"/>
          <w:numId w:val="3"/>
        </w:numPr>
        <w:spacing w:line="460" w:lineRule="auto"/>
        <w:rPr>
          <w:rFonts w:ascii="Arial" w:eastAsia="Arial" w:hAnsi="Arial" w:cs="Arial"/>
          <w:sz w:val="22"/>
          <w:szCs w:val="22"/>
        </w:rPr>
      </w:pPr>
      <w:r w:rsidRPr="005E17CE">
        <w:rPr>
          <w:rFonts w:ascii="Times New Roman" w:eastAsia="Times New Roman" w:hAnsi="Times New Roman" w:cs="Times New Roman"/>
          <w:sz w:val="28"/>
          <w:szCs w:val="28"/>
        </w:rPr>
        <w:t>Conducting vessel hoisting or onshore mounting operations</w:t>
      </w:r>
    </w:p>
    <w:p w14:paraId="1790CDD7" w14:textId="77777777" w:rsidR="0032343A" w:rsidRDefault="0032343A" w:rsidP="0032343A">
      <w:pPr>
        <w:widowControl/>
        <w:numPr>
          <w:ilvl w:val="0"/>
          <w:numId w:val="1"/>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Except for transportation docks, only the following individuals may enter the berthing area: </w:t>
      </w:r>
    </w:p>
    <w:p w14:paraId="2935664E" w14:textId="77777777" w:rsidR="0032343A" w:rsidRDefault="0032343A" w:rsidP="0032343A">
      <w:pPr>
        <w:widowControl/>
        <w:numPr>
          <w:ilvl w:val="0"/>
          <w:numId w:val="2"/>
        </w:numPr>
        <w:spacing w:line="460" w:lineRule="auto"/>
        <w:rPr>
          <w:rFonts w:ascii="Arial" w:eastAsia="Arial" w:hAnsi="Arial" w:cs="Arial"/>
          <w:sz w:val="22"/>
          <w:szCs w:val="22"/>
        </w:rPr>
      </w:pPr>
      <w:r>
        <w:rPr>
          <w:rFonts w:ascii="Times New Roman" w:eastAsia="Times New Roman" w:hAnsi="Times New Roman" w:cs="Times New Roman"/>
          <w:sz w:val="28"/>
          <w:szCs w:val="28"/>
        </w:rPr>
        <w:lastRenderedPageBreak/>
        <w:t>Vessel owners, their representatives, employees, or users</w:t>
      </w:r>
    </w:p>
    <w:p w14:paraId="00A296D5" w14:textId="77777777" w:rsidR="0032343A" w:rsidRDefault="0032343A" w:rsidP="0032343A">
      <w:pPr>
        <w:widowControl/>
        <w:numPr>
          <w:ilvl w:val="0"/>
          <w:numId w:val="2"/>
        </w:numPr>
        <w:spacing w:line="460" w:lineRule="auto"/>
        <w:rPr>
          <w:rFonts w:ascii="Arial" w:eastAsia="Arial" w:hAnsi="Arial" w:cs="Arial"/>
          <w:sz w:val="22"/>
          <w:szCs w:val="22"/>
        </w:rPr>
      </w:pPr>
      <w:r>
        <w:rPr>
          <w:rFonts w:ascii="Times New Roman" w:eastAsia="Times New Roman" w:hAnsi="Times New Roman" w:cs="Times New Roman"/>
          <w:sz w:val="28"/>
          <w:szCs w:val="28"/>
        </w:rPr>
        <w:t>Individuals accompanied by the vessel owner or their representative</w:t>
      </w:r>
    </w:p>
    <w:p w14:paraId="78810A58" w14:textId="77777777" w:rsidR="0032343A" w:rsidRDefault="0032343A" w:rsidP="0032343A">
      <w:pPr>
        <w:widowControl/>
        <w:numPr>
          <w:ilvl w:val="0"/>
          <w:numId w:val="2"/>
        </w:numPr>
        <w:spacing w:line="460" w:lineRule="auto"/>
        <w:rPr>
          <w:rFonts w:ascii="Arial" w:eastAsia="Arial" w:hAnsi="Arial" w:cs="Arial"/>
          <w:sz w:val="22"/>
          <w:szCs w:val="22"/>
        </w:rPr>
      </w:pPr>
      <w:r>
        <w:rPr>
          <w:rFonts w:ascii="Times New Roman" w:eastAsia="Times New Roman" w:hAnsi="Times New Roman" w:cs="Times New Roman"/>
          <w:sz w:val="28"/>
          <w:szCs w:val="28"/>
        </w:rPr>
        <w:t>Others who have received approval from the Headquarters</w:t>
      </w:r>
    </w:p>
    <w:p w14:paraId="0976CF2E" w14:textId="77777777" w:rsidR="0032343A" w:rsidRDefault="0032343A" w:rsidP="0032343A">
      <w:pPr>
        <w:widowControl/>
        <w:numPr>
          <w:ilvl w:val="0"/>
          <w:numId w:val="1"/>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Discharging wastewater, damaging the environment, or engaging in any form of pollution in the berthing area is forbidden. Violators will be dealt with according to the Tourism Development Act or other relevant legislation. The offenders are responsible for cleanup. If the pollution is severe, the Headquarters will handle the cleanup and charge the violator accordingly. </w:t>
      </w:r>
    </w:p>
    <w:p w14:paraId="2DF6C472" w14:textId="77777777" w:rsidR="0032343A" w:rsidRDefault="0032343A" w:rsidP="0032343A">
      <w:pPr>
        <w:widowControl/>
        <w:numPr>
          <w:ilvl w:val="0"/>
          <w:numId w:val="1"/>
        </w:numPr>
        <w:spacing w:line="460" w:lineRule="auto"/>
        <w:rPr>
          <w:rFonts w:ascii="Arial" w:eastAsia="Arial" w:hAnsi="Arial" w:cs="Arial"/>
          <w:sz w:val="22"/>
          <w:szCs w:val="22"/>
        </w:rPr>
      </w:pPr>
      <w:r>
        <w:rPr>
          <w:rFonts w:ascii="Times New Roman" w:eastAsia="Times New Roman" w:hAnsi="Times New Roman" w:cs="Times New Roman"/>
          <w:sz w:val="28"/>
          <w:szCs w:val="28"/>
        </w:rPr>
        <w:t xml:space="preserve">Unauthorized occupation of berthing area facilities must be resolved within the deadline provided via notice or public announcement of the Headquarters. If unresolved, items will be treated as waste and removed or disposed of under the Waste Disposal Act, with related costs borne by the violator. </w:t>
      </w:r>
    </w:p>
    <w:p w14:paraId="6EDB0DBF" w14:textId="77777777" w:rsidR="0032343A" w:rsidRDefault="0032343A" w:rsidP="0032343A">
      <w:pPr>
        <w:widowControl/>
        <w:numPr>
          <w:ilvl w:val="0"/>
          <w:numId w:val="1"/>
        </w:numPr>
        <w:spacing w:after="240" w:line="460" w:lineRule="auto"/>
        <w:rPr>
          <w:rFonts w:ascii="Arial" w:eastAsia="Arial" w:hAnsi="Arial" w:cs="Arial"/>
          <w:sz w:val="22"/>
          <w:szCs w:val="22"/>
        </w:rPr>
      </w:pPr>
      <w:r>
        <w:rPr>
          <w:rFonts w:ascii="Times New Roman" w:eastAsia="Times New Roman" w:hAnsi="Times New Roman" w:cs="Times New Roman"/>
          <w:sz w:val="28"/>
          <w:szCs w:val="28"/>
        </w:rPr>
        <w:t>The Headquarters may restrict the usage of the berthing area under the following circumstances:</w:t>
      </w:r>
    </w:p>
    <w:p w14:paraId="64AB4B66" w14:textId="77777777" w:rsidR="0032343A" w:rsidRDefault="0032343A" w:rsidP="0032343A">
      <w:pPr>
        <w:widowControl/>
        <w:spacing w:before="240" w:after="240" w:line="460" w:lineRule="auto"/>
        <w:ind w:left="480"/>
        <w:rPr>
          <w:rFonts w:ascii="Times New Roman" w:eastAsia="Times New Roman" w:hAnsi="Times New Roman" w:cs="Times New Roman"/>
          <w:sz w:val="28"/>
          <w:szCs w:val="28"/>
        </w:rPr>
      </w:pPr>
      <w:r>
        <w:rPr>
          <w:rFonts w:ascii="Times New Roman" w:eastAsia="Times New Roman" w:hAnsi="Times New Roman" w:cs="Times New Roman"/>
          <w:sz w:val="28"/>
          <w:szCs w:val="28"/>
        </w:rPr>
        <w:t>(1) When land or sea typhoon warnings are issued by weather competent authority or severe weather (e.g., dense fog) that may hinder vessel navigation is observed.</w:t>
      </w:r>
    </w:p>
    <w:p w14:paraId="1A78815E" w14:textId="77777777" w:rsidR="0032343A" w:rsidRDefault="0032343A" w:rsidP="0032343A">
      <w:pPr>
        <w:widowControl/>
        <w:spacing w:before="240" w:after="240" w:line="460" w:lineRule="auto"/>
        <w:ind w:left="4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When dock facilities are damaged or pose a safety risk, the Headquarters may prohibit berthing.</w:t>
      </w:r>
    </w:p>
    <w:p w14:paraId="1C07A98D" w14:textId="77777777" w:rsidR="0032343A" w:rsidRDefault="0032343A" w:rsidP="0032343A">
      <w:pPr>
        <w:widowControl/>
        <w:spacing w:before="240" w:after="240" w:line="460" w:lineRule="auto"/>
        <w:ind w:left="480"/>
        <w:rPr>
          <w:rFonts w:ascii="Times New Roman" w:eastAsia="Times New Roman" w:hAnsi="Times New Roman" w:cs="Times New Roman"/>
          <w:sz w:val="28"/>
          <w:szCs w:val="28"/>
        </w:rPr>
      </w:pPr>
      <w:r>
        <w:rPr>
          <w:rFonts w:ascii="Times New Roman" w:eastAsia="Times New Roman" w:hAnsi="Times New Roman" w:cs="Times New Roman"/>
          <w:sz w:val="28"/>
          <w:szCs w:val="28"/>
        </w:rPr>
        <w:t>(3) Other circumstances as deemed necessary by the Headquarters.</w:t>
      </w:r>
    </w:p>
    <w:p w14:paraId="6D0034C0" w14:textId="77777777" w:rsidR="0032343A" w:rsidRDefault="0032343A" w:rsidP="0032343A">
      <w:pPr>
        <w:widowControl/>
        <w:numPr>
          <w:ilvl w:val="0"/>
          <w:numId w:val="1"/>
        </w:numPr>
        <w:spacing w:before="240" w:line="460" w:lineRule="auto"/>
        <w:rPr>
          <w:rFonts w:ascii="Arial" w:eastAsia="Arial" w:hAnsi="Arial" w:cs="Arial"/>
          <w:sz w:val="22"/>
          <w:szCs w:val="22"/>
        </w:rPr>
      </w:pPr>
      <w:r>
        <w:rPr>
          <w:rFonts w:ascii="Times New Roman" w:eastAsia="Times New Roman" w:hAnsi="Times New Roman" w:cs="Times New Roman"/>
          <w:sz w:val="28"/>
          <w:szCs w:val="28"/>
        </w:rPr>
        <w:t xml:space="preserve">Public service or emergency rescue vessels may use vacant berths and board/disembark passengers as needed for official duties or safety purposes, in accordance with the instructions of on-site personnel </w:t>
      </w:r>
    </w:p>
    <w:p w14:paraId="3BF4A23C" w14:textId="7C0233F1" w:rsidR="0032343A" w:rsidRDefault="005E17CE" w:rsidP="0032343A">
      <w:pPr>
        <w:widowControl/>
        <w:numPr>
          <w:ilvl w:val="0"/>
          <w:numId w:val="1"/>
        </w:numPr>
        <w:spacing w:after="240" w:line="460" w:lineRule="auto"/>
        <w:rPr>
          <w:rFonts w:ascii="Arial" w:eastAsia="Arial" w:hAnsi="Arial" w:cs="Arial"/>
          <w:sz w:val="22"/>
          <w:szCs w:val="22"/>
        </w:rPr>
      </w:pPr>
      <w:r w:rsidRPr="005E17CE">
        <w:rPr>
          <w:rFonts w:ascii="Times New Roman" w:eastAsia="Times New Roman" w:hAnsi="Times New Roman" w:cs="Times New Roman"/>
          <w:sz w:val="28"/>
          <w:szCs w:val="28"/>
        </w:rPr>
        <w:t>Those who seriously violate these directions or fail to comply after being warned by the Headquarters may have their berth lease terminated</w:t>
      </w:r>
      <w:r w:rsidR="0032343A">
        <w:rPr>
          <w:rFonts w:ascii="Times New Roman" w:eastAsia="Times New Roman" w:hAnsi="Times New Roman" w:cs="Times New Roman"/>
          <w:sz w:val="28"/>
          <w:szCs w:val="28"/>
        </w:rPr>
        <w:t>. If the Tourism Development Act is involved, it will be handled in accordance with the rules of that Act.</w:t>
      </w:r>
    </w:p>
    <w:p w14:paraId="55370597" w14:textId="77777777" w:rsidR="00A800E6" w:rsidRPr="0032343A" w:rsidRDefault="00961E7C"/>
    <w:sectPr w:rsidR="00A800E6" w:rsidRPr="0032343A" w:rsidSect="0032343A">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1164" w14:textId="77777777" w:rsidR="00961E7C" w:rsidRDefault="00961E7C" w:rsidP="005E17CE">
      <w:r>
        <w:separator/>
      </w:r>
    </w:p>
  </w:endnote>
  <w:endnote w:type="continuationSeparator" w:id="0">
    <w:p w14:paraId="75AAFAF0" w14:textId="77777777" w:rsidR="00961E7C" w:rsidRDefault="00961E7C" w:rsidP="005E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B6F6C" w14:textId="77777777" w:rsidR="00961E7C" w:rsidRDefault="00961E7C" w:rsidP="005E17CE">
      <w:r>
        <w:separator/>
      </w:r>
    </w:p>
  </w:footnote>
  <w:footnote w:type="continuationSeparator" w:id="0">
    <w:p w14:paraId="6FB335AB" w14:textId="77777777" w:rsidR="00961E7C" w:rsidRDefault="00961E7C" w:rsidP="005E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624E8"/>
    <w:multiLevelType w:val="multilevel"/>
    <w:tmpl w:val="04FED6C6"/>
    <w:lvl w:ilvl="0">
      <w:start w:val="1"/>
      <w:numFmt w:val="decimal"/>
      <w:lvlText w:val="%1. "/>
      <w:lvlJc w:val="left"/>
      <w:pPr>
        <w:ind w:left="480" w:hanging="48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1" w15:restartNumberingAfterBreak="0">
    <w:nsid w:val="5C2C4E5C"/>
    <w:multiLevelType w:val="multilevel"/>
    <w:tmpl w:val="E8102DF0"/>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abstractNum w:abstractNumId="2" w15:restartNumberingAfterBreak="0">
    <w:nsid w:val="65EB37E8"/>
    <w:multiLevelType w:val="multilevel"/>
    <w:tmpl w:val="D682BC4C"/>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CD"/>
    <w:rsid w:val="0000253F"/>
    <w:rsid w:val="0032343A"/>
    <w:rsid w:val="005E17CE"/>
    <w:rsid w:val="00961E7C"/>
    <w:rsid w:val="00980D82"/>
    <w:rsid w:val="00981E66"/>
    <w:rsid w:val="00DD0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3279"/>
  <w15:chartTrackingRefBased/>
  <w15:docId w15:val="{15B9BE49-6E9A-4230-A79A-7E3ED4EF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43A"/>
    <w:pPr>
      <w:widowControl w:val="0"/>
    </w:pPr>
    <w:rPr>
      <w:rFonts w:ascii="Calibri" w:hAnsi="Calibri" w:cs="Calibri"/>
      <w:kern w:val="0"/>
      <w:szCs w:val="24"/>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7CE"/>
    <w:pPr>
      <w:tabs>
        <w:tab w:val="center" w:pos="4153"/>
        <w:tab w:val="right" w:pos="8306"/>
      </w:tabs>
      <w:snapToGrid w:val="0"/>
    </w:pPr>
    <w:rPr>
      <w:sz w:val="20"/>
      <w:szCs w:val="20"/>
    </w:rPr>
  </w:style>
  <w:style w:type="character" w:customStyle="1" w:styleId="a4">
    <w:name w:val="頁首 字元"/>
    <w:basedOn w:val="a0"/>
    <w:link w:val="a3"/>
    <w:uiPriority w:val="99"/>
    <w:rsid w:val="005E17CE"/>
    <w:rPr>
      <w:rFonts w:ascii="Calibri" w:hAnsi="Calibri" w:cs="Calibri"/>
      <w:kern w:val="0"/>
      <w:sz w:val="20"/>
      <w:szCs w:val="20"/>
      <w:lang w:val="en"/>
    </w:rPr>
  </w:style>
  <w:style w:type="paragraph" w:styleId="a5">
    <w:name w:val="footer"/>
    <w:basedOn w:val="a"/>
    <w:link w:val="a6"/>
    <w:uiPriority w:val="99"/>
    <w:unhideWhenUsed/>
    <w:rsid w:val="005E17CE"/>
    <w:pPr>
      <w:tabs>
        <w:tab w:val="center" w:pos="4153"/>
        <w:tab w:val="right" w:pos="8306"/>
      </w:tabs>
      <w:snapToGrid w:val="0"/>
    </w:pPr>
    <w:rPr>
      <w:sz w:val="20"/>
      <w:szCs w:val="20"/>
    </w:rPr>
  </w:style>
  <w:style w:type="character" w:customStyle="1" w:styleId="a6">
    <w:name w:val="頁尾 字元"/>
    <w:basedOn w:val="a0"/>
    <w:link w:val="a5"/>
    <w:uiPriority w:val="99"/>
    <w:rsid w:val="005E17CE"/>
    <w:rPr>
      <w:rFonts w:ascii="Calibri" w:hAnsi="Calibri" w:cs="Calibri"/>
      <w:kern w:val="0"/>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2</cp:revision>
  <dcterms:created xsi:type="dcterms:W3CDTF">2025-09-04T09:49:00Z</dcterms:created>
  <dcterms:modified xsi:type="dcterms:W3CDTF">2025-09-04T09:49:00Z</dcterms:modified>
</cp:coreProperties>
</file>