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5A" w:rsidRPr="0096335A" w:rsidRDefault="0096335A" w:rsidP="0096335A">
      <w:pPr>
        <w:widowControl/>
        <w:autoSpaceDN/>
        <w:textAlignment w:val="auto"/>
        <w:rPr>
          <w:rFonts w:ascii="標楷體" w:eastAsia="標楷體" w:hAnsi="標楷體" w:cs="新細明體"/>
          <w:color w:val="000000"/>
          <w:kern w:val="0"/>
          <w:sz w:val="40"/>
          <w:szCs w:val="40"/>
        </w:rPr>
      </w:pPr>
      <w:r w:rsidRPr="0096335A">
        <w:rPr>
          <w:rFonts w:ascii="標楷體" w:eastAsia="標楷體" w:hAnsi="標楷體" w:cs="新細明體" w:hint="eastAsia"/>
          <w:color w:val="000000"/>
          <w:kern w:val="0"/>
          <w:sz w:val="40"/>
          <w:szCs w:val="40"/>
        </w:rPr>
        <w:t>附表</w:t>
      </w:r>
    </w:p>
    <w:p w:rsidR="00D5726A" w:rsidRPr="0096335A" w:rsidRDefault="00D5726A" w:rsidP="0096335A">
      <w:pPr>
        <w:widowControl/>
        <w:autoSpaceDN/>
        <w:textAlignment w:val="auto"/>
        <w:rPr>
          <w:rFonts w:ascii="新細明體" w:hAnsi="新細明體" w:cs="新細明體"/>
          <w:color w:val="000000"/>
          <w:kern w:val="0"/>
          <w:sz w:val="40"/>
          <w:szCs w:val="40"/>
        </w:rPr>
      </w:pPr>
      <w:bookmarkStart w:id="0" w:name="_GoBack"/>
      <w:bookmarkEnd w:id="0"/>
      <w:r w:rsidRPr="0096335A">
        <w:rPr>
          <w:rFonts w:ascii="標楷體" w:eastAsia="標楷體" w:hAnsi="標楷體" w:cs="新細明體" w:hint="eastAsia"/>
          <w:color w:val="000000"/>
          <w:kern w:val="0"/>
          <w:sz w:val="40"/>
          <w:szCs w:val="40"/>
        </w:rPr>
        <w:t>處理違反大陸地區人民來</w:t>
      </w:r>
      <w:proofErr w:type="gramStart"/>
      <w:r w:rsidRPr="0096335A">
        <w:rPr>
          <w:rFonts w:ascii="標楷體" w:eastAsia="標楷體" w:hAnsi="標楷體" w:cs="新細明體" w:hint="eastAsia"/>
          <w:color w:val="000000"/>
          <w:kern w:val="0"/>
          <w:sz w:val="40"/>
          <w:szCs w:val="40"/>
        </w:rPr>
        <w:t>臺</w:t>
      </w:r>
      <w:proofErr w:type="gramEnd"/>
      <w:r w:rsidRPr="0096335A">
        <w:rPr>
          <w:rFonts w:ascii="標楷體" w:eastAsia="標楷體" w:hAnsi="標楷體" w:cs="新細明體" w:hint="eastAsia"/>
          <w:color w:val="000000"/>
          <w:kern w:val="0"/>
          <w:sz w:val="40"/>
          <w:szCs w:val="40"/>
        </w:rPr>
        <w:t>從事觀光活動許可辦法第二十六條規定案件裁量基準表</w:t>
      </w:r>
    </w:p>
    <w:tbl>
      <w:tblPr>
        <w:tblW w:w="9199" w:type="dxa"/>
        <w:tblCellSpacing w:w="0" w:type="dxa"/>
        <w:tblCellMar>
          <w:top w:w="30" w:type="dxa"/>
          <w:left w:w="30" w:type="dxa"/>
          <w:bottom w:w="30" w:type="dxa"/>
          <w:right w:w="30" w:type="dxa"/>
        </w:tblCellMar>
        <w:tblLook w:val="04A0" w:firstRow="1" w:lastRow="0" w:firstColumn="1" w:lastColumn="0" w:noHBand="0" w:noVBand="1"/>
      </w:tblPr>
      <w:tblGrid>
        <w:gridCol w:w="308"/>
        <w:gridCol w:w="1006"/>
        <w:gridCol w:w="1578"/>
        <w:gridCol w:w="1795"/>
        <w:gridCol w:w="1114"/>
        <w:gridCol w:w="3398"/>
      </w:tblGrid>
      <w:tr w:rsidR="00D5726A" w:rsidRPr="00D410CD" w:rsidTr="00866D84">
        <w:trPr>
          <w:tblHeader/>
          <w:tblCellSpacing w:w="0" w:type="dxa"/>
        </w:trPr>
        <w:tc>
          <w:tcPr>
            <w:tcW w:w="308" w:type="dxa"/>
            <w:tcBorders>
              <w:top w:val="single" w:sz="12"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項次</w:t>
            </w:r>
          </w:p>
        </w:tc>
        <w:tc>
          <w:tcPr>
            <w:tcW w:w="1006" w:type="dxa"/>
            <w:tcBorders>
              <w:top w:val="single" w:sz="12" w:space="0" w:color="000000"/>
              <w:left w:val="single" w:sz="6"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法條依據</w:t>
            </w:r>
          </w:p>
        </w:tc>
        <w:tc>
          <w:tcPr>
            <w:tcW w:w="1578" w:type="dxa"/>
            <w:tcBorders>
              <w:top w:val="single" w:sz="12" w:space="0" w:color="000000"/>
              <w:left w:val="single" w:sz="6"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違法事實</w:t>
            </w:r>
          </w:p>
        </w:tc>
        <w:tc>
          <w:tcPr>
            <w:tcW w:w="1795" w:type="dxa"/>
            <w:tcBorders>
              <w:top w:val="single" w:sz="12" w:space="0" w:color="000000"/>
              <w:left w:val="single" w:sz="6"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裁處內容</w:t>
            </w:r>
          </w:p>
        </w:tc>
        <w:tc>
          <w:tcPr>
            <w:tcW w:w="1114" w:type="dxa"/>
            <w:tcBorders>
              <w:top w:val="single" w:sz="12" w:space="0" w:color="000000"/>
              <w:left w:val="single" w:sz="6"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裁處對象</w:t>
            </w:r>
          </w:p>
        </w:tc>
        <w:tc>
          <w:tcPr>
            <w:tcW w:w="3398"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裁量基準</w:t>
            </w:r>
          </w:p>
        </w:tc>
      </w:tr>
      <w:tr w:rsidR="00D5726A" w:rsidRPr="00D410CD" w:rsidTr="00866D84">
        <w:trPr>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proofErr w:type="gramStart"/>
            <w:r w:rsidRPr="00D410CD">
              <w:rPr>
                <w:rFonts w:ascii="標楷體" w:eastAsia="標楷體" w:hAnsi="標楷體" w:cs="新細明體" w:hint="eastAsia"/>
                <w:color w:val="000000"/>
                <w:kern w:val="0"/>
                <w:szCs w:val="24"/>
              </w:rPr>
              <w:t>一</w:t>
            </w:r>
            <w:proofErr w:type="gramEnd"/>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第二十六條第二項第一款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違反第二十三條第一項之注意事項有關最低接待團費平均每人每日費用</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866D84">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tc>
      </w:tr>
      <w:tr w:rsidR="00D5726A" w:rsidRPr="00D410CD" w:rsidTr="00866D84">
        <w:trPr>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第二十六條第二項第二款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於團體已啟程來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入境前無故取消接待，或於行程中因故意或重大過失棄置旅客，未予接待</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一、按次處停止其辦理接待業務三個月。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tc>
      </w:tr>
      <w:tr w:rsidR="00D5726A" w:rsidRPr="00D410CD" w:rsidTr="00866D84">
        <w:trPr>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jc w:val="center"/>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第二十六條第二項第三款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違反第五條之一第一項有關旅行業接待大陸地區人民來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從事個人旅遊，不得接待由香港、澳門或大陸地區旅行業、其他機構或個人組成之個人旅遊旅客團體之規定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二、第二次違規，處停止其辦理接待業務六個月。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三、第三次違規，處停止其辦理接待業務九個月。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四、第四次以上違規，處停止其辦理接待業務一年。</w:t>
            </w:r>
          </w:p>
          <w:p w:rsidR="00D5726A" w:rsidRPr="00D410CD" w:rsidRDefault="00D5726A" w:rsidP="00866D84">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五、違規情節重大者，處廢止辦理大陸地區人民來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tc>
      </w:tr>
      <w:tr w:rsidR="00D5726A" w:rsidRPr="00D410CD" w:rsidTr="00866D84">
        <w:trPr>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四</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第二十六條第二項第四款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違反第十三條第一項後段規定</w:t>
            </w:r>
            <w:proofErr w:type="gramStart"/>
            <w:r w:rsidRPr="00D410CD">
              <w:rPr>
                <w:rFonts w:ascii="標楷體" w:eastAsia="標楷體" w:hAnsi="標楷體" w:cs="新細明體" w:hint="eastAsia"/>
                <w:color w:val="000000"/>
                <w:kern w:val="0"/>
                <w:szCs w:val="24"/>
              </w:rPr>
              <w:t>與本署禁止</w:t>
            </w:r>
            <w:proofErr w:type="gramEnd"/>
            <w:r w:rsidRPr="00D410CD">
              <w:rPr>
                <w:rFonts w:ascii="標楷體" w:eastAsia="標楷體" w:hAnsi="標楷體" w:cs="新細明體" w:hint="eastAsia"/>
                <w:color w:val="000000"/>
                <w:kern w:val="0"/>
                <w:szCs w:val="24"/>
              </w:rPr>
              <w:lastRenderedPageBreak/>
              <w:t>業務往來之大陸組團社營業</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w:t>
            </w:r>
            <w:r w:rsidRPr="00D410CD">
              <w:rPr>
                <w:rFonts w:ascii="標楷體" w:eastAsia="標楷體" w:hAnsi="標楷體" w:cs="新細明體" w:hint="eastAsia"/>
                <w:color w:val="000000"/>
                <w:kern w:val="0"/>
                <w:szCs w:val="24"/>
              </w:rPr>
              <w:lastRenderedPageBreak/>
              <w:t>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p>
        </w:tc>
      </w:tr>
      <w:tr w:rsidR="00D5726A" w:rsidRPr="00D410CD" w:rsidTr="00866D84">
        <w:trPr>
          <w:trHeight w:val="315"/>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五</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第二十六條第二項第五款第一目</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jc w:val="both"/>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違反第二十三條第一項之注意事項有關禁止任意要求接待車輛駕駛人縮短行車時間、違規超車或超速之規定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二、第二次違規或因而肇事者，處停止其辦理接待業務三個月。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三、第三次違規或因而肇事致人重傷者，處停止其辦理接待業務六個月。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四、第四次以上違規或因而肇事致人死亡者，處停止其辦理接待業務一年。</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五、違規情節重大者，處廢止辦理大陸地區人民來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p>
        </w:tc>
      </w:tr>
      <w:tr w:rsidR="00D5726A" w:rsidRPr="00D410CD" w:rsidTr="00866D84">
        <w:trPr>
          <w:trHeight w:val="315"/>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六</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第二十六條第二項第五款第二目</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違反第二十三條第一項之注意事項有關限制購物商店總數及停留時間之規定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tc>
      </w:tr>
      <w:tr w:rsidR="00D5726A" w:rsidRPr="00D410CD" w:rsidTr="00866D84">
        <w:trPr>
          <w:trHeight w:val="390"/>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七</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第二十六條第二項第五款第三目</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違反第二十三條第一項之注意事項有關不得強迫旅客進</w:t>
            </w:r>
            <w:r w:rsidRPr="00D410CD">
              <w:rPr>
                <w:rFonts w:ascii="標楷體" w:eastAsia="標楷體" w:hAnsi="標楷體" w:cs="新細明體" w:hint="eastAsia"/>
                <w:color w:val="000000"/>
                <w:kern w:val="0"/>
                <w:szCs w:val="24"/>
              </w:rPr>
              <w:lastRenderedPageBreak/>
              <w:t>入或留置購物商店之規定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w:t>
            </w:r>
            <w:r w:rsidRPr="00D410CD">
              <w:rPr>
                <w:rFonts w:ascii="標楷體" w:eastAsia="標楷體" w:hAnsi="標楷體" w:cs="新細明體" w:hint="eastAsia"/>
                <w:color w:val="000000"/>
                <w:kern w:val="0"/>
                <w:szCs w:val="24"/>
              </w:rPr>
              <w:lastRenderedPageBreak/>
              <w:t>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二、第二次以上違規，處停止其辦理接待業務六個月。</w:t>
            </w:r>
          </w:p>
          <w:p w:rsidR="00D5726A" w:rsidRPr="00D410CD" w:rsidRDefault="00D5726A" w:rsidP="00D5726A">
            <w:pPr>
              <w:widowControl/>
              <w:autoSpaceDN/>
              <w:spacing w:before="100" w:beforeAutospacing="1" w:after="100" w:afterAutospacing="1"/>
              <w:ind w:left="516"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p w:rsidR="00D5726A" w:rsidRPr="00D410CD" w:rsidRDefault="00D5726A" w:rsidP="00D5726A">
            <w:pPr>
              <w:widowControl/>
              <w:autoSpaceDN/>
              <w:spacing w:before="100" w:beforeAutospacing="1" w:after="100" w:afterAutospacing="1"/>
              <w:ind w:left="516" w:hanging="482"/>
              <w:textAlignment w:val="auto"/>
              <w:rPr>
                <w:rFonts w:ascii="標楷體" w:eastAsia="標楷體" w:hAnsi="標楷體" w:cs="新細明體"/>
                <w:color w:val="000000"/>
                <w:kern w:val="0"/>
                <w:sz w:val="32"/>
                <w:szCs w:val="32"/>
              </w:rPr>
            </w:pPr>
          </w:p>
        </w:tc>
      </w:tr>
      <w:tr w:rsidR="00D5726A" w:rsidRPr="00D410CD" w:rsidTr="00866D84">
        <w:trPr>
          <w:trHeight w:val="3225"/>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八</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第二十六條第二項第六款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違反第二十三條第二項之專案核准團體之特別規定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p>
        </w:tc>
      </w:tr>
      <w:tr w:rsidR="00D5726A" w:rsidRPr="00D410CD" w:rsidTr="00866D84">
        <w:trPr>
          <w:trHeight w:val="390"/>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九</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第二十六條第二項第七款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違反第十三條第二項或第三項有關協助確認文件真實性及協助案件偵辦等相關規定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停止其辦理接待大陸地區人民來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從事觀光活動業務一個月至一年，情節重大者，廢止辦理大陸地區人民來臺從事觀光活動業務之核准</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旅行業</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三、違規情節重大者，處廢止辦理大陸地區人民來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從事觀光活動業務之核准。</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p>
        </w:tc>
      </w:tr>
      <w:tr w:rsidR="00D5726A" w:rsidRPr="00D410CD" w:rsidTr="00866D84">
        <w:trPr>
          <w:trHeight w:val="390"/>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十</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第二十六條第五項第一款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jc w:val="both"/>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違反第二十三條第一項之注意事項有關禁止任意要求接待車輛駕駛人縮短行車時間、違規超車或超速之規定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停止其執行接待大陸地區人民來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導遊人員</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二、第二次違規或因而肇事者，處停止其辦理接待業務三個月。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三、第三次違規或因而肇事致人重傷者，處停止其辦理接待業務六個月。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四、第四次以上違規或因而肇事致人死亡者，處停止其辦理接待業務一年。</w:t>
            </w:r>
          </w:p>
        </w:tc>
      </w:tr>
      <w:tr w:rsidR="00D5726A" w:rsidRPr="00D410CD" w:rsidTr="00866D84">
        <w:trPr>
          <w:trHeight w:val="390"/>
          <w:tblCellSpacing w:w="0" w:type="dxa"/>
        </w:trPr>
        <w:tc>
          <w:tcPr>
            <w:tcW w:w="308" w:type="dxa"/>
            <w:tcBorders>
              <w:top w:val="single" w:sz="6" w:space="0" w:color="000000"/>
              <w:left w:val="single" w:sz="12" w:space="0" w:color="000000"/>
              <w:bottom w:val="single" w:sz="6"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lastRenderedPageBreak/>
              <w:t>十一</w:t>
            </w:r>
          </w:p>
        </w:tc>
        <w:tc>
          <w:tcPr>
            <w:tcW w:w="1006"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第二十六條第五項第二款</w:t>
            </w:r>
          </w:p>
        </w:tc>
        <w:tc>
          <w:tcPr>
            <w:tcW w:w="1578"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違反第二十三條第一項之注意事項有關限制購物商店總數及停留時間之規定</w:t>
            </w:r>
          </w:p>
        </w:tc>
        <w:tc>
          <w:tcPr>
            <w:tcW w:w="179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停止其執行接待大陸地區人民來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w:t>
            </w:r>
          </w:p>
        </w:tc>
        <w:tc>
          <w:tcPr>
            <w:tcW w:w="1114"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導遊人員</w:t>
            </w:r>
          </w:p>
        </w:tc>
        <w:tc>
          <w:tcPr>
            <w:tcW w:w="3398"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p>
        </w:tc>
      </w:tr>
      <w:tr w:rsidR="00D5726A" w:rsidRPr="00D410CD" w:rsidTr="00866D84">
        <w:trPr>
          <w:trHeight w:val="360"/>
          <w:tblCellSpacing w:w="0" w:type="dxa"/>
        </w:trPr>
        <w:tc>
          <w:tcPr>
            <w:tcW w:w="308" w:type="dxa"/>
            <w:tcBorders>
              <w:top w:val="single" w:sz="6" w:space="0" w:color="000000"/>
              <w:left w:val="single" w:sz="12" w:space="0" w:color="000000"/>
              <w:bottom w:val="single" w:sz="12" w:space="0" w:color="000000"/>
              <w:right w:val="nil"/>
            </w:tcBorders>
            <w:tcMar>
              <w:top w:w="0" w:type="dxa"/>
              <w:left w:w="28" w:type="dxa"/>
              <w:bottom w:w="0" w:type="dxa"/>
              <w:right w:w="0" w:type="dxa"/>
            </w:tcMar>
            <w:vAlign w:val="cente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十二</w:t>
            </w:r>
          </w:p>
        </w:tc>
        <w:tc>
          <w:tcPr>
            <w:tcW w:w="1006" w:type="dxa"/>
            <w:tcBorders>
              <w:top w:val="single" w:sz="6" w:space="0" w:color="000000"/>
              <w:left w:val="single" w:sz="6" w:space="0" w:color="000000"/>
              <w:bottom w:val="single" w:sz="12"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第二十六條第五項第三款</w:t>
            </w:r>
          </w:p>
        </w:tc>
        <w:tc>
          <w:tcPr>
            <w:tcW w:w="1578" w:type="dxa"/>
            <w:tcBorders>
              <w:top w:val="single" w:sz="6" w:space="0" w:color="000000"/>
              <w:left w:val="single" w:sz="6" w:space="0" w:color="000000"/>
              <w:bottom w:val="single" w:sz="12"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違反第二十三條第一項之注意事項有關不得強迫旅客進入或留置購物商店之規定</w:t>
            </w:r>
          </w:p>
        </w:tc>
        <w:tc>
          <w:tcPr>
            <w:tcW w:w="1795" w:type="dxa"/>
            <w:tcBorders>
              <w:top w:val="single" w:sz="6" w:space="0" w:color="000000"/>
              <w:left w:val="single" w:sz="6" w:space="0" w:color="000000"/>
              <w:bottom w:val="single" w:sz="12"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停止其執行接待大陸地區人民來</w:t>
            </w:r>
            <w:proofErr w:type="gramStart"/>
            <w:r w:rsidRPr="00D410CD">
              <w:rPr>
                <w:rFonts w:ascii="標楷體" w:eastAsia="標楷體" w:hAnsi="標楷體" w:cs="新細明體" w:hint="eastAsia"/>
                <w:color w:val="000000"/>
                <w:kern w:val="0"/>
                <w:szCs w:val="24"/>
              </w:rPr>
              <w:t>臺</w:t>
            </w:r>
            <w:proofErr w:type="gramEnd"/>
            <w:r w:rsidRPr="00D410CD">
              <w:rPr>
                <w:rFonts w:ascii="標楷體" w:eastAsia="標楷體" w:hAnsi="標楷體" w:cs="新細明體" w:hint="eastAsia"/>
                <w:color w:val="000000"/>
                <w:kern w:val="0"/>
                <w:szCs w:val="24"/>
              </w:rPr>
              <w:t>從事觀光活動業務一個月至一年</w:t>
            </w:r>
          </w:p>
        </w:tc>
        <w:tc>
          <w:tcPr>
            <w:tcW w:w="1114" w:type="dxa"/>
            <w:tcBorders>
              <w:top w:val="single" w:sz="6" w:space="0" w:color="000000"/>
              <w:left w:val="single" w:sz="6" w:space="0" w:color="000000"/>
              <w:bottom w:val="single" w:sz="12" w:space="0" w:color="000000"/>
              <w:right w:val="nil"/>
            </w:tcBorders>
            <w:tcMar>
              <w:top w:w="0" w:type="dxa"/>
              <w:left w:w="28" w:type="dxa"/>
              <w:bottom w:w="0" w:type="dxa"/>
              <w:right w:w="0" w:type="dxa"/>
            </w:tcMar>
            <w:hideMark/>
          </w:tcPr>
          <w:p w:rsidR="00D5726A" w:rsidRPr="00D410CD" w:rsidRDefault="00D5726A" w:rsidP="00D5726A">
            <w:pPr>
              <w:widowControl/>
              <w:autoSpaceDN/>
              <w:spacing w:before="100" w:beforeAutospacing="1" w:after="100" w:afterAutospacing="1"/>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導遊人員</w:t>
            </w:r>
          </w:p>
        </w:tc>
        <w:tc>
          <w:tcPr>
            <w:tcW w:w="3398"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一、第一次違規，處停止其辦理接待業務一個月。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r w:rsidRPr="00D410CD">
              <w:rPr>
                <w:rFonts w:ascii="標楷體" w:eastAsia="標楷體" w:hAnsi="標楷體" w:cs="新細明體" w:hint="eastAsia"/>
                <w:color w:val="000000"/>
                <w:kern w:val="0"/>
                <w:szCs w:val="24"/>
              </w:rPr>
              <w:t>二、第二次以上違規，處停止其辦理接待業務三個月。</w:t>
            </w:r>
          </w:p>
          <w:p w:rsidR="00D5726A" w:rsidRPr="00D410CD" w:rsidRDefault="00D5726A" w:rsidP="00D5726A">
            <w:pPr>
              <w:widowControl/>
              <w:autoSpaceDN/>
              <w:spacing w:before="100" w:beforeAutospacing="1" w:after="100" w:afterAutospacing="1"/>
              <w:ind w:left="482" w:hanging="482"/>
              <w:textAlignment w:val="auto"/>
              <w:rPr>
                <w:rFonts w:ascii="標楷體" w:eastAsia="標楷體" w:hAnsi="標楷體" w:cs="新細明體"/>
                <w:color w:val="000000"/>
                <w:kern w:val="0"/>
                <w:sz w:val="32"/>
                <w:szCs w:val="32"/>
              </w:rPr>
            </w:pPr>
          </w:p>
        </w:tc>
      </w:tr>
    </w:tbl>
    <w:p w:rsidR="00465811" w:rsidRPr="00D410CD" w:rsidRDefault="00465811" w:rsidP="00CD6BAC">
      <w:pPr>
        <w:widowControl/>
        <w:rPr>
          <w:rFonts w:ascii="標楷體" w:eastAsia="標楷體" w:hAnsi="標楷體"/>
          <w:sz w:val="40"/>
          <w:szCs w:val="40"/>
        </w:rPr>
      </w:pPr>
    </w:p>
    <w:sectPr w:rsidR="00465811" w:rsidRPr="00D410CD">
      <w:pgSz w:w="11906" w:h="16838"/>
      <w:pgMar w:top="1418" w:right="1701"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8C" w:rsidRDefault="00A9798C">
      <w:r>
        <w:separator/>
      </w:r>
    </w:p>
  </w:endnote>
  <w:endnote w:type="continuationSeparator" w:id="0">
    <w:p w:rsidR="00A9798C" w:rsidRDefault="00A9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8C" w:rsidRDefault="00A9798C">
      <w:r>
        <w:rPr>
          <w:color w:val="000000"/>
        </w:rPr>
        <w:separator/>
      </w:r>
    </w:p>
  </w:footnote>
  <w:footnote w:type="continuationSeparator" w:id="0">
    <w:p w:rsidR="00A9798C" w:rsidRDefault="00A9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3AE"/>
    <w:multiLevelType w:val="hybridMultilevel"/>
    <w:tmpl w:val="B3204848"/>
    <w:lvl w:ilvl="0" w:tplc="75DA9CC4">
      <w:start w:val="1"/>
      <w:numFmt w:val="taiwaneseCountingThousand"/>
      <w:lvlText w:val="%1、"/>
      <w:lvlJc w:val="left"/>
      <w:pPr>
        <w:ind w:left="720" w:hanging="720"/>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BE3256"/>
    <w:multiLevelType w:val="hybridMultilevel"/>
    <w:tmpl w:val="56FC887E"/>
    <w:lvl w:ilvl="0" w:tplc="553C6FD2">
      <w:start w:val="2"/>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B31F1C"/>
    <w:multiLevelType w:val="hybridMultilevel"/>
    <w:tmpl w:val="5C7C58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11"/>
    <w:rsid w:val="000250CB"/>
    <w:rsid w:val="000545C4"/>
    <w:rsid w:val="00067525"/>
    <w:rsid w:val="00091438"/>
    <w:rsid w:val="00123AEB"/>
    <w:rsid w:val="001B3801"/>
    <w:rsid w:val="001F1F26"/>
    <w:rsid w:val="00211822"/>
    <w:rsid w:val="00285B29"/>
    <w:rsid w:val="002E161E"/>
    <w:rsid w:val="002F01E5"/>
    <w:rsid w:val="00465811"/>
    <w:rsid w:val="004C24FF"/>
    <w:rsid w:val="005313C0"/>
    <w:rsid w:val="005513FA"/>
    <w:rsid w:val="005B73D7"/>
    <w:rsid w:val="005E39F0"/>
    <w:rsid w:val="00636E5C"/>
    <w:rsid w:val="00654F37"/>
    <w:rsid w:val="006E4F8D"/>
    <w:rsid w:val="007A5277"/>
    <w:rsid w:val="007A6F27"/>
    <w:rsid w:val="0084784C"/>
    <w:rsid w:val="00866D84"/>
    <w:rsid w:val="00953330"/>
    <w:rsid w:val="00960A3B"/>
    <w:rsid w:val="0096335A"/>
    <w:rsid w:val="00A9798C"/>
    <w:rsid w:val="00B3491A"/>
    <w:rsid w:val="00B35CE0"/>
    <w:rsid w:val="00B90613"/>
    <w:rsid w:val="00B9089C"/>
    <w:rsid w:val="00C4080B"/>
    <w:rsid w:val="00C97AC0"/>
    <w:rsid w:val="00CD6BAC"/>
    <w:rsid w:val="00D23A1F"/>
    <w:rsid w:val="00D3760F"/>
    <w:rsid w:val="00D410CD"/>
    <w:rsid w:val="00D5726A"/>
    <w:rsid w:val="00E373B7"/>
    <w:rsid w:val="00F91FFB"/>
    <w:rsid w:val="00FD5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5C24"/>
  <w15:docId w15:val="{606E09D5-C65A-4996-B1D2-689B424B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szCs w:val="24"/>
    </w:rPr>
  </w:style>
  <w:style w:type="paragraph" w:styleId="a3">
    <w:name w:val="List Paragraph"/>
    <w:basedOn w:val="Textbody"/>
    <w:pPr>
      <w:ind w:left="480"/>
    </w:pPr>
  </w:style>
  <w:style w:type="paragraph" w:styleId="a4">
    <w:name w:val="Body Text"/>
    <w:basedOn w:val="Textbody"/>
    <w:pPr>
      <w:snapToGrid w:val="0"/>
    </w:pPr>
    <w:rPr>
      <w:rFonts w:ascii="標楷體" w:eastAsia="標楷體" w:hAnsi="標楷體" w:cs="標楷體"/>
      <w:b/>
      <w:color w:val="000000"/>
      <w:kern w:val="0"/>
      <w:sz w:val="32"/>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Date"/>
    <w:basedOn w:val="Textbody"/>
    <w:next w:val="Textbody"/>
    <w:pPr>
      <w:jc w:val="right"/>
    </w:pPr>
  </w:style>
  <w:style w:type="paragraph" w:customStyle="1" w:styleId="TableContents">
    <w:name w:val="Table Contents"/>
    <w:basedOn w:val="Standard"/>
    <w:pPr>
      <w:widowControl w:val="0"/>
      <w:suppressLineNumbers/>
    </w:pPr>
  </w:style>
  <w:style w:type="character" w:customStyle="1" w:styleId="a8">
    <w:name w:val="本文 字元"/>
    <w:basedOn w:val="a0"/>
    <w:rPr>
      <w:rFonts w:ascii="標楷體" w:eastAsia="標楷體" w:hAnsi="標楷體" w:cs="標楷體"/>
      <w:b/>
      <w:color w:val="000000"/>
      <w:kern w:val="0"/>
      <w:sz w:val="32"/>
      <w:szCs w:val="24"/>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日期 字元"/>
    <w:basedOn w:val="a0"/>
  </w:style>
  <w:style w:type="paragraph" w:customStyle="1" w:styleId="ac">
    <w:name w:val="壹內文"/>
    <w:basedOn w:val="Standard"/>
    <w:pPr>
      <w:widowControl w:val="0"/>
      <w:suppressAutoHyphens/>
      <w:spacing w:before="120"/>
      <w:ind w:left="480"/>
      <w:jc w:val="both"/>
    </w:pPr>
    <w:rPr>
      <w:rFonts w:ascii="標楷體" w:eastAsia="標楷體" w:hAnsi="標楷體" w:cs="標楷體"/>
      <w:sz w:val="32"/>
      <w:szCs w:val="24"/>
    </w:rPr>
  </w:style>
  <w:style w:type="paragraph" w:customStyle="1" w:styleId="cjk">
    <w:name w:val="cjk"/>
    <w:basedOn w:val="a"/>
    <w:rsid w:val="00B3491A"/>
    <w:pPr>
      <w:widowControl/>
      <w:autoSpaceDN/>
      <w:spacing w:before="100" w:beforeAutospacing="1" w:after="100" w:afterAutospacing="1"/>
      <w:textAlignment w:val="auto"/>
    </w:pPr>
    <w:rPr>
      <w:rFonts w:ascii="標楷體" w:eastAsia="標楷體" w:hAnsi="標楷體" w:cs="新細明體"/>
      <w:b/>
      <w:bCs/>
      <w:color w:val="000000"/>
      <w:kern w:val="0"/>
      <w:sz w:val="32"/>
      <w:szCs w:val="32"/>
    </w:rPr>
  </w:style>
  <w:style w:type="paragraph" w:styleId="Web">
    <w:name w:val="Normal (Web)"/>
    <w:basedOn w:val="a"/>
    <w:uiPriority w:val="99"/>
    <w:semiHidden/>
    <w:unhideWhenUsed/>
    <w:rsid w:val="00D5726A"/>
    <w:pPr>
      <w:widowControl/>
      <w:autoSpaceDN/>
      <w:spacing w:before="100" w:beforeAutospacing="1" w:after="100" w:afterAutospacing="1"/>
      <w:textAlignment w:val="auto"/>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018">
      <w:bodyDiv w:val="1"/>
      <w:marLeft w:val="0"/>
      <w:marRight w:val="0"/>
      <w:marTop w:val="0"/>
      <w:marBottom w:val="0"/>
      <w:divBdr>
        <w:top w:val="none" w:sz="0" w:space="0" w:color="auto"/>
        <w:left w:val="none" w:sz="0" w:space="0" w:color="auto"/>
        <w:bottom w:val="none" w:sz="0" w:space="0" w:color="auto"/>
        <w:right w:val="none" w:sz="0" w:space="0" w:color="auto"/>
      </w:divBdr>
    </w:div>
    <w:div w:id="1140801548">
      <w:bodyDiv w:val="1"/>
      <w:marLeft w:val="0"/>
      <w:marRight w:val="0"/>
      <w:marTop w:val="0"/>
      <w:marBottom w:val="0"/>
      <w:divBdr>
        <w:top w:val="none" w:sz="0" w:space="0" w:color="auto"/>
        <w:left w:val="none" w:sz="0" w:space="0" w:color="auto"/>
        <w:bottom w:val="none" w:sz="0" w:space="0" w:color="auto"/>
        <w:right w:val="none" w:sz="0" w:space="0" w:color="auto"/>
      </w:divBdr>
    </w:div>
    <w:div w:id="1220677860">
      <w:bodyDiv w:val="1"/>
      <w:marLeft w:val="0"/>
      <w:marRight w:val="0"/>
      <w:marTop w:val="0"/>
      <w:marBottom w:val="0"/>
      <w:divBdr>
        <w:top w:val="none" w:sz="0" w:space="0" w:color="auto"/>
        <w:left w:val="none" w:sz="0" w:space="0" w:color="auto"/>
        <w:bottom w:val="none" w:sz="0" w:space="0" w:color="auto"/>
        <w:right w:val="none" w:sz="0" w:space="0" w:color="auto"/>
      </w:divBdr>
    </w:div>
    <w:div w:id="142491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詹翌羚</dc:creator>
  <dc:description/>
  <cp:lastModifiedBy>Administrator</cp:lastModifiedBy>
  <cp:revision>4</cp:revision>
  <dcterms:created xsi:type="dcterms:W3CDTF">2025-05-19T10:27:00Z</dcterms:created>
  <dcterms:modified xsi:type="dcterms:W3CDTF">2025-05-29T01:11:00Z</dcterms:modified>
</cp:coreProperties>
</file>