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55A" w:rsidRPr="00605CDC" w:rsidRDefault="00723D49">
      <w:pPr>
        <w:pStyle w:val="Standard"/>
        <w:wordWrap w:val="0"/>
        <w:spacing w:after="72" w:line="440" w:lineRule="exact"/>
        <w:ind w:left="-120" w:firstLine="320"/>
        <w:jc w:val="center"/>
        <w:rPr>
          <w:sz w:val="40"/>
          <w:szCs w:val="40"/>
        </w:rPr>
      </w:pPr>
      <w:r w:rsidRPr="00605CDC">
        <w:rPr>
          <w:rFonts w:eastAsia="標楷體"/>
          <w:bCs/>
          <w:sz w:val="40"/>
          <w:szCs w:val="40"/>
        </w:rPr>
        <w:t>辦理違反發展觀光條例裁罰應注意事項</w:t>
      </w:r>
    </w:p>
    <w:p w:rsidR="0031755A" w:rsidRPr="00605CDC" w:rsidRDefault="00723D49" w:rsidP="00605CDC">
      <w:pPr>
        <w:pStyle w:val="Standard"/>
        <w:wordWrap w:val="0"/>
        <w:spacing w:line="460" w:lineRule="exact"/>
        <w:rPr>
          <w:rFonts w:ascii="標楷體" w:eastAsia="標楷體" w:hAnsi="標楷體" w:cs="標楷體"/>
        </w:rPr>
      </w:pPr>
      <w:r w:rsidRPr="00605CDC">
        <w:rPr>
          <w:rFonts w:ascii="標楷體" w:eastAsia="標楷體" w:hAnsi="標楷體" w:cs="標楷體"/>
        </w:rPr>
        <w:t>中華民國104年12月31日觀企字第1042001384號函</w:t>
      </w:r>
      <w:r w:rsidR="00605CDC" w:rsidRPr="00605CDC">
        <w:rPr>
          <w:rFonts w:ascii="標楷體" w:eastAsia="標楷體" w:hAnsi="標楷體" w:cs="標楷體" w:hint="eastAsia"/>
        </w:rPr>
        <w:t>訂定</w:t>
      </w:r>
    </w:p>
    <w:p w:rsidR="00605CDC" w:rsidRPr="00605CDC" w:rsidRDefault="00605CDC" w:rsidP="00605CDC">
      <w:pPr>
        <w:pStyle w:val="Standard"/>
        <w:wordWrap w:val="0"/>
        <w:spacing w:line="460" w:lineRule="exact"/>
        <w:rPr>
          <w:rFonts w:ascii="標楷體" w:eastAsia="標楷體" w:hAnsi="標楷體"/>
        </w:rPr>
      </w:pPr>
      <w:r w:rsidRPr="00605CDC">
        <w:rPr>
          <w:rFonts w:ascii="標楷體" w:eastAsia="標楷體" w:hAnsi="標楷體" w:hint="eastAsia"/>
        </w:rPr>
        <w:t>中華民國114年6月2日觀企字第1142000430號</w:t>
      </w:r>
      <w:r>
        <w:rPr>
          <w:rFonts w:ascii="標楷體" w:eastAsia="標楷體" w:hAnsi="標楷體" w:hint="eastAsia"/>
        </w:rPr>
        <w:t>函修正</w:t>
      </w:r>
    </w:p>
    <w:p w:rsidR="001A08AE" w:rsidRPr="001A08AE" w:rsidRDefault="001A08AE" w:rsidP="00282B66">
      <w:pPr>
        <w:pStyle w:val="Standard"/>
        <w:spacing w:line="460" w:lineRule="exact"/>
        <w:ind w:left="560" w:hangingChars="200" w:hanging="560"/>
        <w:jc w:val="both"/>
        <w:rPr>
          <w:rFonts w:ascii="標楷體" w:eastAsia="標楷體" w:hAnsi="標楷體" w:cs="標楷體"/>
          <w:sz w:val="28"/>
          <w:szCs w:val="28"/>
        </w:rPr>
      </w:pPr>
      <w:r w:rsidRPr="001A08AE">
        <w:rPr>
          <w:rFonts w:ascii="標楷體" w:eastAsia="標楷體" w:hAnsi="標楷體" w:cs="標楷體" w:hint="eastAsia"/>
          <w:sz w:val="28"/>
          <w:szCs w:val="28"/>
        </w:rPr>
        <w:t>一、交通部觀光署（以下簡稱本署）為建立及協助各直轄市及縣（市）政府辦理違反發展觀光條例（以下簡稱本條例）案件相關責任認定、裁罰之裁量與其程序、管轄等事項之處理原則，特訂定本注意事項。</w:t>
      </w:r>
    </w:p>
    <w:p w:rsidR="0031755A" w:rsidRPr="007C3ED4" w:rsidRDefault="00605CDC" w:rsidP="00282B66">
      <w:pPr>
        <w:pStyle w:val="Standard"/>
        <w:spacing w:line="460" w:lineRule="exact"/>
        <w:ind w:left="560" w:hangingChars="200" w:hanging="560"/>
        <w:jc w:val="both"/>
        <w:rPr>
          <w:sz w:val="28"/>
          <w:szCs w:val="28"/>
        </w:rPr>
      </w:pPr>
      <w:r w:rsidRPr="007C3ED4">
        <w:rPr>
          <w:rFonts w:ascii="標楷體" w:eastAsia="標楷體" w:hAnsi="標楷體" w:cs="標楷體" w:hint="eastAsia"/>
          <w:sz w:val="28"/>
          <w:szCs w:val="28"/>
        </w:rPr>
        <w:t>二、</w:t>
      </w:r>
      <w:r w:rsidR="00723D49" w:rsidRPr="007C3ED4">
        <w:rPr>
          <w:rFonts w:ascii="標楷體" w:eastAsia="標楷體" w:hAnsi="標楷體" w:cs="標楷體"/>
          <w:sz w:val="28"/>
          <w:szCs w:val="28"/>
        </w:rPr>
        <w:t>本條例所稱之主管機關發現或知悉有違反本條例之義務行為時，應先判斷有無同時觸犯刑事法律。若有，則應依「行政機關與司法機關辦理行政罰及刑事罰競合案件業務聯繫辦法」移送檢察機關。但刑事法律無處罰法人之規定者，不適用行政罰法第二十六條第一項規定，仍應依本條例裁罰之。</w:t>
      </w:r>
    </w:p>
    <w:p w:rsidR="0031755A" w:rsidRPr="007C3ED4" w:rsidRDefault="00605CDC" w:rsidP="00282B66">
      <w:pPr>
        <w:pStyle w:val="Standard"/>
        <w:spacing w:line="460" w:lineRule="exact"/>
        <w:ind w:left="560" w:hangingChars="200" w:hanging="560"/>
        <w:jc w:val="both"/>
        <w:rPr>
          <w:sz w:val="28"/>
          <w:szCs w:val="28"/>
        </w:rPr>
      </w:pPr>
      <w:r w:rsidRPr="007C3ED4">
        <w:rPr>
          <w:rFonts w:ascii="標楷體" w:eastAsia="標楷體" w:hAnsi="標楷體" w:cs="標楷體" w:hint="eastAsia"/>
          <w:sz w:val="28"/>
          <w:szCs w:val="28"/>
        </w:rPr>
        <w:t>三、</w:t>
      </w:r>
      <w:r w:rsidR="00723D49" w:rsidRPr="007C3ED4">
        <w:rPr>
          <w:rFonts w:ascii="標楷體" w:eastAsia="標楷體" w:hAnsi="標楷體" w:cs="標楷體"/>
          <w:sz w:val="28"/>
          <w:szCs w:val="28"/>
        </w:rPr>
        <w:t>依本條例第四條、第三十五條第二項、第五十七條、觀光遊樂業管理規則第五條、觀光遊樂業管理規則權責劃分表，併同行政罰法第二十九至第三十一條之規定確定有無管轄權。其認無管轄權者，應依行政程序法第十七條之規定，移送有管轄權之機關，並通知當事人。</w:t>
      </w:r>
    </w:p>
    <w:p w:rsidR="0031755A" w:rsidRPr="007C3ED4" w:rsidRDefault="00605CDC" w:rsidP="00282B66">
      <w:pPr>
        <w:pStyle w:val="Standard"/>
        <w:spacing w:line="460" w:lineRule="exact"/>
        <w:ind w:left="560" w:hangingChars="200" w:hanging="560"/>
        <w:jc w:val="both"/>
        <w:rPr>
          <w:rFonts w:ascii="標楷體" w:eastAsia="標楷體" w:hAnsi="標楷體" w:cs="標楷體"/>
          <w:sz w:val="28"/>
          <w:szCs w:val="28"/>
        </w:rPr>
      </w:pPr>
      <w:r w:rsidRPr="007C3ED4">
        <w:rPr>
          <w:rFonts w:ascii="標楷體" w:eastAsia="標楷體" w:hAnsi="標楷體" w:cs="標楷體" w:hint="eastAsia"/>
          <w:sz w:val="28"/>
          <w:szCs w:val="28"/>
        </w:rPr>
        <w:t>四、</w:t>
      </w:r>
      <w:r w:rsidR="00723D49" w:rsidRPr="007C3ED4">
        <w:rPr>
          <w:rFonts w:ascii="標楷體" w:eastAsia="標楷體" w:hAnsi="標楷體" w:cs="標楷體"/>
          <w:sz w:val="28"/>
          <w:szCs w:val="28"/>
        </w:rPr>
        <w:t>依行政罰法第二十七條及第二十八條之規定，確定行為人違反行政法上義務行為之時點，未經過三年期間而使行政罰裁處權時效消滅。</w:t>
      </w:r>
    </w:p>
    <w:p w:rsidR="002777EF" w:rsidRPr="002777EF" w:rsidRDefault="002777EF" w:rsidP="00282B66">
      <w:pPr>
        <w:pStyle w:val="Standard"/>
        <w:spacing w:line="460" w:lineRule="exact"/>
        <w:ind w:left="560" w:hangingChars="200" w:hanging="560"/>
        <w:jc w:val="both"/>
        <w:rPr>
          <w:rFonts w:ascii="標楷體" w:eastAsia="標楷體" w:hAnsi="標楷體" w:cs="標楷體"/>
          <w:sz w:val="28"/>
          <w:szCs w:val="28"/>
        </w:rPr>
      </w:pPr>
      <w:r w:rsidRPr="002777EF">
        <w:rPr>
          <w:rFonts w:ascii="標楷體" w:eastAsia="標楷體" w:hAnsi="標楷體" w:cs="標楷體" w:hint="eastAsia"/>
          <w:sz w:val="28"/>
          <w:szCs w:val="28"/>
        </w:rPr>
        <w:t>五、判斷違反本條例之行政法上義務，所為行政處分是否為法律效果屬受罰鍰、沒入或行政罰法第二條等處罰之「裁罰性」「不利處分」，而非屬預防性不利處分、保全措施或行政執行方法。</w:t>
      </w:r>
    </w:p>
    <w:p w:rsidR="002777EF" w:rsidRPr="002777EF" w:rsidRDefault="002777EF" w:rsidP="00282B66">
      <w:pPr>
        <w:pStyle w:val="Standard"/>
        <w:spacing w:line="460" w:lineRule="exact"/>
        <w:ind w:leftChars="200" w:left="480" w:firstLineChars="200" w:firstLine="560"/>
        <w:jc w:val="both"/>
        <w:rPr>
          <w:rFonts w:ascii="標楷體" w:eastAsia="標楷體" w:hAnsi="標楷體" w:cs="標楷體"/>
          <w:sz w:val="28"/>
          <w:szCs w:val="28"/>
        </w:rPr>
      </w:pPr>
      <w:r w:rsidRPr="002777EF">
        <w:rPr>
          <w:rFonts w:ascii="標楷體" w:eastAsia="標楷體" w:hAnsi="標楷體" w:cs="標楷體" w:hint="eastAsia"/>
          <w:sz w:val="28"/>
          <w:szCs w:val="28"/>
        </w:rPr>
        <w:t>依本條例以下之規定所為之行政處分為「裁罰性」之「不利處分」：第五十三條及第五十四條第一項之「定期停止其營業」之一部或全部，或「廢止其營業執照或登記證」；第五十五條之「公布其名稱、地址、負責人或經營者姓名及違規事項」；第五十六條之「勒令其停止執行職務」；第五十七條之「立即停止其辦理旅客之出國及國內旅遊業務」、「廢止其旅行業執照」、「廢止其營業執照或登記證」；第五十八條之「定期停止其執行業</w:t>
      </w:r>
      <w:r w:rsidRPr="002777EF">
        <w:rPr>
          <w:rFonts w:ascii="標楷體" w:eastAsia="標楷體" w:hAnsi="標楷體" w:cs="標楷體" w:hint="eastAsia"/>
          <w:sz w:val="28"/>
          <w:szCs w:val="28"/>
        </w:rPr>
        <w:lastRenderedPageBreak/>
        <w:t>務」、「廢止其執業證」；第五十九條之「禁止其執業」、第六十條之「禁止其活動」、第六十一條之「勒令其停止使用及拆除之」。</w:t>
      </w:r>
    </w:p>
    <w:p w:rsidR="002777EF" w:rsidRDefault="002777EF" w:rsidP="00282B66">
      <w:pPr>
        <w:pStyle w:val="Standard"/>
        <w:spacing w:line="460" w:lineRule="exact"/>
        <w:ind w:leftChars="200" w:left="480" w:firstLineChars="200" w:firstLine="560"/>
        <w:jc w:val="both"/>
        <w:rPr>
          <w:rFonts w:ascii="標楷體" w:eastAsia="標楷體" w:hAnsi="標楷體" w:cs="標楷體"/>
          <w:sz w:val="28"/>
          <w:szCs w:val="28"/>
        </w:rPr>
      </w:pPr>
      <w:r w:rsidRPr="002777EF">
        <w:rPr>
          <w:rFonts w:ascii="標楷體" w:eastAsia="標楷體" w:hAnsi="標楷體" w:cs="標楷體" w:hint="eastAsia"/>
          <w:sz w:val="28"/>
          <w:szCs w:val="28"/>
        </w:rPr>
        <w:t>本條例以下之規定非「裁罰性」不利處分：第五十四條第一項之「令限期改善」及第二項之「暫停其設施或設備一部或全部之使用」、第五十五條第七項之「採取停止供水、供電、封閉、強制拆除或其他必要可立即結束營業之措施」、第六十二條第一項之「責令回復原狀或償還修復費用」。</w:t>
      </w:r>
    </w:p>
    <w:p w:rsidR="0031755A" w:rsidRPr="007C3ED4" w:rsidRDefault="00872A6C" w:rsidP="00282B66">
      <w:pPr>
        <w:pStyle w:val="Standard"/>
        <w:spacing w:line="460" w:lineRule="exact"/>
        <w:jc w:val="both"/>
        <w:rPr>
          <w:rFonts w:ascii="標楷體" w:eastAsia="標楷體" w:hAnsi="標楷體" w:cs="標楷體"/>
          <w:sz w:val="28"/>
          <w:szCs w:val="28"/>
        </w:rPr>
      </w:pPr>
      <w:r w:rsidRPr="007C3ED4">
        <w:rPr>
          <w:rFonts w:ascii="標楷體" w:eastAsia="標楷體" w:hAnsi="標楷體" w:cs="標楷體" w:hint="eastAsia"/>
          <w:sz w:val="28"/>
          <w:szCs w:val="28"/>
        </w:rPr>
        <w:t>六、</w:t>
      </w:r>
      <w:r w:rsidR="00723D49" w:rsidRPr="007C3ED4">
        <w:rPr>
          <w:rFonts w:ascii="標楷體" w:eastAsia="標楷體" w:hAnsi="標楷體" w:cs="標楷體"/>
          <w:sz w:val="28"/>
          <w:szCs w:val="28"/>
        </w:rPr>
        <w:t>裁罰性不利處分之職權調查程序，依下列法規依序適用如下：</w:t>
      </w:r>
    </w:p>
    <w:p w:rsidR="0031755A" w:rsidRPr="007C3ED4" w:rsidRDefault="007C3ED4" w:rsidP="002E269B">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（一）</w:t>
      </w:r>
      <w:r w:rsidR="00723D49" w:rsidRPr="007C3ED4">
        <w:rPr>
          <w:rFonts w:ascii="標楷體" w:eastAsia="標楷體" w:hAnsi="標楷體" w:cs="標楷體"/>
          <w:sz w:val="28"/>
          <w:szCs w:val="28"/>
        </w:rPr>
        <w:t>主管機關執行職務之人員，應向行為人出示有關執行職務之證明文件或顯示足資辨別之標誌，並告知其所違反之法規。</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（二）</w:t>
      </w:r>
      <w:r w:rsidR="00723D49" w:rsidRPr="007C3ED4">
        <w:rPr>
          <w:rFonts w:ascii="標楷體" w:eastAsia="標楷體" w:hAnsi="標楷體" w:cs="標楷體"/>
          <w:sz w:val="28"/>
          <w:szCs w:val="28"/>
        </w:rPr>
        <w:t>先適用本條例第三十七條及第五十四條第三項之規定。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（三）</w:t>
      </w:r>
      <w:r w:rsidR="00723D49" w:rsidRPr="007C3ED4">
        <w:rPr>
          <w:rFonts w:ascii="標楷體" w:eastAsia="標楷體" w:hAnsi="標楷體" w:cs="標楷體"/>
          <w:sz w:val="28"/>
          <w:szCs w:val="28"/>
        </w:rPr>
        <w:t>適用行政罰法第三十三條至第四十一條之規定。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（四）</w:t>
      </w:r>
      <w:r w:rsidR="00723D49" w:rsidRPr="007C3ED4">
        <w:rPr>
          <w:rFonts w:ascii="標楷體" w:eastAsia="標楷體" w:hAnsi="標楷體" w:cs="標楷體"/>
          <w:sz w:val="28"/>
          <w:szCs w:val="28"/>
        </w:rPr>
        <w:t>行政罰法未規定者，得適用行政程序法第三十六條至第四十三條之規定。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（五）</w:t>
      </w:r>
      <w:r w:rsidR="00723D49" w:rsidRPr="007C3ED4">
        <w:rPr>
          <w:rFonts w:ascii="標楷體" w:eastAsia="標楷體" w:hAnsi="標楷體" w:cs="標楷體"/>
          <w:sz w:val="28"/>
          <w:szCs w:val="28"/>
        </w:rPr>
        <w:t>依行政罰法第四十三條舉行聽證者，應適用行政程序法第一零八條之規定。</w:t>
      </w:r>
    </w:p>
    <w:p w:rsidR="0031755A" w:rsidRPr="007C3ED4" w:rsidRDefault="00723D49" w:rsidP="00282B66">
      <w:pPr>
        <w:pStyle w:val="Standard"/>
        <w:spacing w:line="460" w:lineRule="exact"/>
        <w:ind w:leftChars="200" w:left="480" w:firstLineChars="200" w:firstLine="560"/>
        <w:jc w:val="both"/>
        <w:rPr>
          <w:sz w:val="28"/>
          <w:szCs w:val="28"/>
        </w:rPr>
      </w:pPr>
      <w:r w:rsidRPr="007C3ED4">
        <w:rPr>
          <w:rFonts w:ascii="標楷體" w:eastAsia="標楷體" w:hAnsi="標楷體" w:cs="標楷體"/>
          <w:sz w:val="28"/>
          <w:szCs w:val="28"/>
        </w:rPr>
        <w:t>非裁罰性不利處分之職權調查程序，適用行政程序法第三十六條至第四十三條之規定。</w:t>
      </w:r>
    </w:p>
    <w:p w:rsidR="0031755A" w:rsidRPr="007C3ED4" w:rsidRDefault="00872A6C" w:rsidP="00282B66">
      <w:pPr>
        <w:pStyle w:val="Standard"/>
        <w:spacing w:line="460" w:lineRule="exact"/>
        <w:jc w:val="both"/>
        <w:rPr>
          <w:rFonts w:ascii="標楷體" w:eastAsia="標楷體" w:hAnsi="標楷體" w:cs="標楷體"/>
          <w:sz w:val="28"/>
          <w:szCs w:val="28"/>
        </w:rPr>
      </w:pPr>
      <w:r w:rsidRPr="007C3ED4">
        <w:rPr>
          <w:rFonts w:ascii="標楷體" w:eastAsia="標楷體" w:hAnsi="標楷體" w:cs="標楷體" w:hint="eastAsia"/>
          <w:sz w:val="28"/>
          <w:szCs w:val="28"/>
        </w:rPr>
        <w:t>七、</w:t>
      </w:r>
      <w:r w:rsidR="00723D49" w:rsidRPr="007C3ED4">
        <w:rPr>
          <w:rFonts w:ascii="標楷體" w:eastAsia="標楷體" w:hAnsi="標楷體" w:cs="標楷體"/>
          <w:sz w:val="28"/>
          <w:szCs w:val="28"/>
        </w:rPr>
        <w:t>裁罰性不利處分之裁罰程序，法規適用如下：</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（一）</w:t>
      </w:r>
      <w:r w:rsidR="00723D49" w:rsidRPr="007C3ED4">
        <w:rPr>
          <w:rFonts w:ascii="標楷體" w:eastAsia="標楷體" w:hAnsi="標楷體" w:cs="標楷體"/>
          <w:sz w:val="28"/>
          <w:szCs w:val="28"/>
        </w:rPr>
        <w:t>有關資訊公開程序，適用行政程序法第四十六條之規定。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（二）</w:t>
      </w:r>
      <w:r w:rsidR="00723D49" w:rsidRPr="007C3ED4">
        <w:rPr>
          <w:rFonts w:ascii="標楷體" w:eastAsia="標楷體" w:hAnsi="標楷體" w:cs="標楷體"/>
          <w:sz w:val="28"/>
          <w:szCs w:val="28"/>
        </w:rPr>
        <w:t>有關陳述意見程序，適用行政罰法第四十二條與行政程序法第一零四條至第一零六條之規定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（三）</w:t>
      </w:r>
      <w:r w:rsidR="00723D49" w:rsidRPr="007C3ED4">
        <w:rPr>
          <w:rFonts w:ascii="標楷體" w:eastAsia="標楷體" w:hAnsi="標楷體" w:cs="標楷體"/>
          <w:sz w:val="28"/>
          <w:szCs w:val="28"/>
        </w:rPr>
        <w:t>有關聽證程序，依序適用行政罰法第四十三條、行政程序法第一零七條至第一零九條及行政程序法第五十四條以下之規定。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（四）</w:t>
      </w:r>
      <w:r w:rsidR="00723D49" w:rsidRPr="007C3ED4">
        <w:rPr>
          <w:rFonts w:ascii="標楷體" w:eastAsia="標楷體" w:hAnsi="標楷體" w:cs="標楷體"/>
          <w:sz w:val="28"/>
          <w:szCs w:val="28"/>
        </w:rPr>
        <w:t>有關方式，依行政罰法第四十三條及行政程序法第九十六條之規定做成裁處書。</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（五）</w:t>
      </w:r>
      <w:r w:rsidR="00723D49" w:rsidRPr="007C3ED4">
        <w:rPr>
          <w:rFonts w:ascii="標楷體" w:eastAsia="標楷體" w:hAnsi="標楷體" w:cs="標楷體"/>
          <w:sz w:val="28"/>
          <w:szCs w:val="28"/>
        </w:rPr>
        <w:t>有關送達程序，適用行政程序法第六十七條以下之規定。</w:t>
      </w:r>
    </w:p>
    <w:p w:rsidR="0031755A" w:rsidRPr="007C3ED4" w:rsidRDefault="00723D49" w:rsidP="00282B66">
      <w:pPr>
        <w:pStyle w:val="Standard"/>
        <w:spacing w:line="460" w:lineRule="exact"/>
        <w:ind w:leftChars="200" w:left="480" w:firstLineChars="200" w:firstLine="560"/>
        <w:jc w:val="both"/>
        <w:rPr>
          <w:rFonts w:ascii="標楷體" w:eastAsia="標楷體" w:hAnsi="標楷體" w:cs="標楷體"/>
          <w:sz w:val="28"/>
          <w:szCs w:val="28"/>
        </w:rPr>
      </w:pPr>
      <w:r w:rsidRPr="007C3ED4">
        <w:rPr>
          <w:rFonts w:ascii="標楷體" w:eastAsia="標楷體" w:hAnsi="標楷體" w:cs="標楷體"/>
          <w:sz w:val="28"/>
          <w:szCs w:val="28"/>
        </w:rPr>
        <w:lastRenderedPageBreak/>
        <w:t>非裁罰性不利處分之程序，法規適用如下：</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（一）</w:t>
      </w:r>
      <w:r w:rsidR="00723D49" w:rsidRPr="007C3ED4">
        <w:rPr>
          <w:rFonts w:ascii="標楷體" w:eastAsia="標楷體" w:hAnsi="標楷體" w:cs="標楷體"/>
          <w:sz w:val="28"/>
          <w:szCs w:val="28"/>
        </w:rPr>
        <w:t>有關資訊公開程序，適用行政程序法第四十六條之規定。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（二）</w:t>
      </w:r>
      <w:r w:rsidR="00723D49" w:rsidRPr="007C3ED4">
        <w:rPr>
          <w:rFonts w:ascii="標楷體" w:eastAsia="標楷體" w:hAnsi="標楷體" w:cs="標楷體"/>
          <w:sz w:val="28"/>
          <w:szCs w:val="28"/>
        </w:rPr>
        <w:t>有關陳述意見程序，適用行政程序法第一零二條以下及第三十九條之規定。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（三）</w:t>
      </w:r>
      <w:r w:rsidR="00723D49" w:rsidRPr="007C3ED4">
        <w:rPr>
          <w:rFonts w:ascii="標楷體" w:eastAsia="標楷體" w:hAnsi="標楷體" w:cs="標楷體"/>
          <w:sz w:val="28"/>
          <w:szCs w:val="28"/>
        </w:rPr>
        <w:t>有關方式，依行政程序法第九十五條及第九十六條之規定。</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（四）</w:t>
      </w:r>
      <w:r w:rsidR="00723D49" w:rsidRPr="007C3ED4">
        <w:rPr>
          <w:rFonts w:ascii="標楷體" w:eastAsia="標楷體" w:hAnsi="標楷體" w:cs="標楷體"/>
          <w:sz w:val="28"/>
          <w:szCs w:val="28"/>
        </w:rPr>
        <w:t>有關送達程序，依序適用行政程序法第一百條及第六十七條以下之規定。</w:t>
      </w:r>
    </w:p>
    <w:p w:rsidR="0031755A" w:rsidRPr="007C3ED4" w:rsidRDefault="00872A6C" w:rsidP="00282B66">
      <w:pPr>
        <w:spacing w:line="460" w:lineRule="exact"/>
        <w:jc w:val="both"/>
        <w:rPr>
          <w:rFonts w:ascii="標楷體" w:eastAsia="標楷體" w:hAnsi="標楷體" w:cs="標楷體"/>
          <w:sz w:val="28"/>
          <w:szCs w:val="28"/>
        </w:rPr>
      </w:pPr>
      <w:r w:rsidRPr="007C3ED4">
        <w:rPr>
          <w:rFonts w:ascii="標楷體" w:eastAsia="標楷體" w:hAnsi="標楷體" w:cs="標楷體" w:hint="eastAsia"/>
          <w:sz w:val="28"/>
          <w:szCs w:val="28"/>
        </w:rPr>
        <w:t>八、</w:t>
      </w:r>
      <w:r w:rsidR="00723D49" w:rsidRPr="007C3ED4">
        <w:rPr>
          <w:rFonts w:ascii="標楷體" w:eastAsia="標楷體" w:hAnsi="標楷體" w:cs="標楷體"/>
          <w:sz w:val="28"/>
          <w:szCs w:val="28"/>
        </w:rPr>
        <w:t>違反本條例行為之應受處罰人，認定原則如下：</w:t>
      </w:r>
    </w:p>
    <w:p w:rsidR="0031755A" w:rsidRPr="007C3ED4" w:rsidRDefault="007C3ED4" w:rsidP="0078751D">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（一）</w:t>
      </w:r>
      <w:r w:rsidR="00723D49" w:rsidRPr="007C3ED4">
        <w:rPr>
          <w:rFonts w:ascii="標楷體" w:eastAsia="標楷體" w:hAnsi="標楷體" w:cs="標楷體"/>
          <w:sz w:val="28"/>
          <w:szCs w:val="28"/>
        </w:rPr>
        <w:t>實施行為之人以有故意或過失者，始得處罰之，並依據其行為舉證有故意或過失。</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（二）</w:t>
      </w:r>
      <w:r w:rsidR="00723D49" w:rsidRPr="007C3ED4">
        <w:rPr>
          <w:rFonts w:ascii="標楷體" w:eastAsia="標楷體" w:hAnsi="標楷體" w:cs="標楷體"/>
          <w:sz w:val="28"/>
          <w:szCs w:val="28"/>
        </w:rPr>
        <w:t>行政罰法第七條第二項規定，所稱法人、非法人團體、機關或其他組織(以下簡稱組織)之代表人、管理人、其他代表權人、職員、受雇人或從業人員，依下列各款情事認定應受處罰人：</w:t>
      </w:r>
    </w:p>
    <w:p w:rsidR="0031755A" w:rsidRPr="007C3ED4" w:rsidRDefault="00DE1F80" w:rsidP="0078751D">
      <w:pPr>
        <w:pStyle w:val="Standard"/>
        <w:snapToGrid w:val="0"/>
        <w:spacing w:line="460" w:lineRule="exact"/>
        <w:ind w:leftChars="200" w:left="104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１</w:t>
      </w:r>
      <w:r w:rsidR="00723D49" w:rsidRPr="007C3ED4">
        <w:rPr>
          <w:rFonts w:ascii="標楷體" w:eastAsia="標楷體" w:hAnsi="標楷體" w:cs="標楷體"/>
          <w:sz w:val="28"/>
          <w:szCs w:val="28"/>
        </w:rPr>
        <w:t>、</w:t>
      </w:r>
      <w:bookmarkStart w:id="0" w:name="_GoBack"/>
      <w:bookmarkEnd w:id="0"/>
      <w:r w:rsidR="00723D49" w:rsidRPr="007C3ED4">
        <w:rPr>
          <w:rFonts w:ascii="標楷體" w:eastAsia="標楷體" w:hAnsi="標楷體" w:cs="標楷體"/>
          <w:sz w:val="28"/>
          <w:szCs w:val="28"/>
        </w:rPr>
        <w:t>實施行為之人，明知或因過失不知該行為違法，仍依所屬組織之命令而為者，應併認組織與實施行為之人均應處罰之。</w:t>
      </w:r>
    </w:p>
    <w:p w:rsidR="0031755A" w:rsidRPr="007C3ED4" w:rsidRDefault="00DE1F80" w:rsidP="00DE1F80">
      <w:pPr>
        <w:pStyle w:val="Standard"/>
        <w:snapToGrid w:val="0"/>
        <w:spacing w:line="460" w:lineRule="exact"/>
        <w:ind w:leftChars="200" w:left="104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２</w:t>
      </w:r>
      <w:r w:rsidR="00723D49" w:rsidRPr="007C3ED4">
        <w:rPr>
          <w:rFonts w:ascii="標楷體" w:eastAsia="標楷體" w:hAnsi="標楷體" w:cs="標楷體"/>
          <w:sz w:val="28"/>
          <w:szCs w:val="28"/>
        </w:rPr>
        <w:t>、前目實施行為之人非因過失而不知該行為違法，而依組織命令所為者，只處罰其所屬組織。</w:t>
      </w:r>
    </w:p>
    <w:p w:rsidR="0031755A" w:rsidRPr="007C3ED4" w:rsidRDefault="00DE1F80" w:rsidP="00DE1F80">
      <w:pPr>
        <w:pStyle w:val="Standard"/>
        <w:snapToGrid w:val="0"/>
        <w:spacing w:line="460" w:lineRule="exact"/>
        <w:ind w:leftChars="200" w:left="104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３</w:t>
      </w:r>
      <w:r w:rsidR="00723D49" w:rsidRPr="007C3ED4">
        <w:rPr>
          <w:rFonts w:ascii="標楷體" w:eastAsia="標楷體" w:hAnsi="標楷體" w:cs="標楷體"/>
          <w:sz w:val="28"/>
          <w:szCs w:val="28"/>
        </w:rPr>
        <w:t>、第一目實施行為人所為違法行為，非出於組織命令者，僅以實施行為人為應受處罰人。</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（三）</w:t>
      </w:r>
      <w:r w:rsidR="00723D49" w:rsidRPr="007C3ED4">
        <w:rPr>
          <w:rFonts w:ascii="標楷體" w:eastAsia="標楷體" w:hAnsi="標楷體" w:cs="標楷體"/>
          <w:sz w:val="28"/>
          <w:szCs w:val="28"/>
        </w:rPr>
        <w:t>前款所稱職員、受雇人或從業人員，以實際僱用關係判定之。</w:t>
      </w:r>
    </w:p>
    <w:p w:rsidR="0031755A" w:rsidRPr="007C3ED4" w:rsidRDefault="00872A6C" w:rsidP="00282B66">
      <w:pPr>
        <w:spacing w:line="460" w:lineRule="exact"/>
        <w:jc w:val="both"/>
        <w:rPr>
          <w:rFonts w:ascii="標楷體" w:eastAsia="標楷體" w:hAnsi="標楷體" w:cs="標楷體"/>
          <w:sz w:val="28"/>
          <w:szCs w:val="28"/>
        </w:rPr>
      </w:pPr>
      <w:r w:rsidRPr="007C3ED4">
        <w:rPr>
          <w:rFonts w:ascii="標楷體" w:eastAsia="標楷體" w:hAnsi="標楷體" w:cs="標楷體" w:hint="eastAsia"/>
          <w:sz w:val="28"/>
          <w:szCs w:val="28"/>
        </w:rPr>
        <w:t>九、</w:t>
      </w:r>
      <w:r w:rsidR="00723D49" w:rsidRPr="007C3ED4">
        <w:rPr>
          <w:rFonts w:ascii="標楷體" w:eastAsia="標楷體" w:hAnsi="標楷體" w:cs="標楷體"/>
          <w:sz w:val="28"/>
          <w:szCs w:val="28"/>
        </w:rPr>
        <w:t>行政罰法第十五條規定之例外併罰之認定如下：</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（一）</w:t>
      </w:r>
      <w:r w:rsidR="00723D49" w:rsidRPr="007C3ED4">
        <w:rPr>
          <w:rFonts w:ascii="標楷體" w:eastAsia="標楷體" w:hAnsi="標楷體" w:cs="標楷體"/>
          <w:sz w:val="28"/>
          <w:szCs w:val="28"/>
        </w:rPr>
        <w:t>私法組織（如營利性質之承包組織）之董事或其他有代表權之人（如分公司之業務代表人）因故意或重大過失（如該行為係屬禁止或應經許可，其竟未查明逕行為之），執行其職務或非屬其職務行為而為該私法組織之利益所為行為，致經依前點認定該私法組織應處行政罰者，對該行為</w:t>
      </w:r>
      <w:r w:rsidR="00723D49" w:rsidRPr="007C3ED4">
        <w:rPr>
          <w:rFonts w:ascii="標楷體" w:eastAsia="標楷體" w:hAnsi="標楷體" w:cs="標楷體"/>
          <w:sz w:val="28"/>
          <w:szCs w:val="28"/>
        </w:rPr>
        <w:lastRenderedPageBreak/>
        <w:t>之董事或其他有代表權之人，應於處罰其私法組織之同時併罰之。</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（二）</w:t>
      </w:r>
      <w:r w:rsidR="00723D49" w:rsidRPr="007C3ED4">
        <w:rPr>
          <w:rFonts w:ascii="標楷體" w:eastAsia="標楷體" w:hAnsi="標楷體" w:cs="標楷體"/>
          <w:sz w:val="28"/>
          <w:szCs w:val="28"/>
        </w:rPr>
        <w:t>私法組織之職員、受雇人或從業人員，執行其職務或非屬其職務行為而為該私法組織之利益所為行為時，致經依前點認定該私法組織應處行政罰者，如該私法組織之董事或其他有代表權之人對該違法行為有防止義務，因故意或重大過失未為防止行為者，應同時對該董事或其他有代表權之人處罰之。</w:t>
      </w:r>
    </w:p>
    <w:p w:rsidR="0031755A" w:rsidRPr="007C3ED4" w:rsidRDefault="007C3ED4" w:rsidP="00282B66">
      <w:pPr>
        <w:pStyle w:val="HTML"/>
        <w:spacing w:line="460" w:lineRule="exact"/>
        <w:ind w:leftChars="100" w:left="108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（三）</w:t>
      </w:r>
      <w:r w:rsidR="00723D49" w:rsidRPr="007C3ED4">
        <w:rPr>
          <w:rFonts w:ascii="標楷體" w:eastAsia="標楷體" w:hAnsi="標楷體" w:cs="標楷體"/>
          <w:sz w:val="28"/>
          <w:szCs w:val="28"/>
        </w:rPr>
        <w:t>私法組織之董事或其他有代表權人，因前二款均同時併罰時，其罰鍰額度，除經證明所得利益超過新臺幣一百萬元者，得以其所得利益範圍內裁處外，最高不得超過新臺幣一百萬元。</w:t>
      </w:r>
    </w:p>
    <w:p w:rsidR="0031755A" w:rsidRPr="007C3ED4" w:rsidRDefault="00872A6C" w:rsidP="00282B66">
      <w:pPr>
        <w:pStyle w:val="Standard"/>
        <w:spacing w:line="460" w:lineRule="exact"/>
        <w:ind w:left="560" w:hangingChars="200" w:hanging="560"/>
        <w:jc w:val="both"/>
        <w:rPr>
          <w:rFonts w:ascii="標楷體" w:eastAsia="標楷體" w:hAnsi="標楷體" w:cs="標楷體"/>
          <w:bCs/>
          <w:sz w:val="28"/>
          <w:szCs w:val="28"/>
        </w:rPr>
      </w:pPr>
      <w:r w:rsidRPr="007C3ED4">
        <w:rPr>
          <w:rFonts w:ascii="標楷體" w:eastAsia="標楷體" w:hAnsi="標楷體" w:cs="標楷體" w:hint="eastAsia"/>
          <w:bCs/>
          <w:sz w:val="28"/>
          <w:szCs w:val="28"/>
        </w:rPr>
        <w:t>十、</w:t>
      </w:r>
      <w:r w:rsidR="00723D49" w:rsidRPr="007C3ED4">
        <w:rPr>
          <w:rFonts w:ascii="標楷體" w:eastAsia="標楷體" w:hAnsi="標楷體" w:cs="標楷體"/>
          <w:bCs/>
          <w:sz w:val="28"/>
          <w:szCs w:val="28"/>
        </w:rPr>
        <w:t>依行政罰法第二十條規定未受行政罰者，得為追繳所得利益之處分。</w:t>
      </w:r>
    </w:p>
    <w:p w:rsidR="0031755A" w:rsidRPr="007C3ED4" w:rsidRDefault="00634CA0" w:rsidP="00282B66">
      <w:pPr>
        <w:pStyle w:val="Standard"/>
        <w:spacing w:line="460" w:lineRule="exact"/>
        <w:ind w:left="840" w:hangingChars="300" w:hanging="840"/>
        <w:jc w:val="both"/>
        <w:rPr>
          <w:sz w:val="28"/>
          <w:szCs w:val="28"/>
        </w:rPr>
      </w:pPr>
      <w:r w:rsidRPr="007C3ED4">
        <w:rPr>
          <w:rFonts w:ascii="標楷體" w:eastAsia="標楷體" w:hAnsi="標楷體" w:cs="標楷體" w:hint="eastAsia"/>
          <w:sz w:val="28"/>
          <w:szCs w:val="28"/>
        </w:rPr>
        <w:t>十一、</w:t>
      </w:r>
      <w:r w:rsidR="00723D49" w:rsidRPr="007C3ED4">
        <w:rPr>
          <w:rFonts w:ascii="標楷體" w:eastAsia="標楷體" w:hAnsi="標楷體" w:cs="標楷體"/>
          <w:sz w:val="28"/>
          <w:szCs w:val="28"/>
        </w:rPr>
        <w:t>行為違反本條例禁止或應經許可之規定者，除前點規定者外，得依其情節輕重減輕裁罰，其屬不知法規經首度查獲者，其應處罰鍰金額，依本條例裁罰標準之附表計算之裁罰金額乘以三分之一計之，但不得低於各該款法定罰鍰最低額之三分之一。</w:t>
      </w:r>
    </w:p>
    <w:p w:rsidR="0031755A" w:rsidRPr="007C3ED4" w:rsidRDefault="00723D49" w:rsidP="00282B66">
      <w:pPr>
        <w:pStyle w:val="Standard"/>
        <w:spacing w:line="460" w:lineRule="exact"/>
        <w:ind w:left="840" w:hangingChars="300" w:hanging="840"/>
        <w:jc w:val="both"/>
        <w:rPr>
          <w:rFonts w:ascii="標楷體" w:eastAsia="標楷體" w:hAnsi="標楷體" w:cs="標楷體"/>
          <w:bCs/>
          <w:sz w:val="28"/>
          <w:szCs w:val="28"/>
        </w:rPr>
      </w:pPr>
      <w:r w:rsidRPr="007C3ED4">
        <w:rPr>
          <w:rFonts w:ascii="標楷體" w:eastAsia="標楷體" w:hAnsi="標楷體" w:cs="標楷體" w:hint="eastAsia"/>
          <w:bCs/>
          <w:sz w:val="28"/>
          <w:szCs w:val="28"/>
        </w:rPr>
        <w:t>十二、</w:t>
      </w:r>
      <w:r w:rsidRPr="007C3ED4">
        <w:rPr>
          <w:rFonts w:ascii="標楷體" w:eastAsia="標楷體" w:hAnsi="標楷體" w:cs="標楷體"/>
          <w:bCs/>
          <w:sz w:val="28"/>
          <w:szCs w:val="28"/>
        </w:rPr>
        <w:t>故意</w:t>
      </w:r>
      <w:r w:rsidRPr="003C3A82">
        <w:rPr>
          <w:rFonts w:ascii="標楷體" w:eastAsia="標楷體" w:hAnsi="標楷體" w:cs="標楷體"/>
          <w:sz w:val="28"/>
          <w:szCs w:val="28"/>
        </w:rPr>
        <w:t>共同</w:t>
      </w:r>
      <w:r w:rsidRPr="007C3ED4">
        <w:rPr>
          <w:rFonts w:ascii="標楷體" w:eastAsia="標楷體" w:hAnsi="標楷體" w:cs="標楷體"/>
          <w:bCs/>
          <w:sz w:val="28"/>
          <w:szCs w:val="28"/>
        </w:rPr>
        <w:t>實施違反本條例上義務之行為但未參與不法利益分配者，依下列規定減輕其處罰：</w:t>
      </w:r>
    </w:p>
    <w:p w:rsidR="0031755A" w:rsidRPr="007C3ED4" w:rsidRDefault="003C3A82" w:rsidP="00282B66">
      <w:pPr>
        <w:pStyle w:val="Standard"/>
        <w:spacing w:line="460" w:lineRule="exact"/>
        <w:ind w:leftChars="200" w:left="1320" w:hangingChars="300" w:hanging="840"/>
        <w:jc w:val="both"/>
        <w:rPr>
          <w:rFonts w:ascii="標楷體" w:eastAsia="標楷體" w:hAnsi="標楷體" w:cs="標楷體"/>
          <w:bCs/>
          <w:sz w:val="28"/>
          <w:szCs w:val="28"/>
        </w:rPr>
      </w:pPr>
      <w:r>
        <w:rPr>
          <w:rFonts w:ascii="標楷體" w:eastAsia="標楷體" w:hAnsi="標楷體" w:cs="標楷體" w:hint="eastAsia"/>
          <w:bCs/>
          <w:sz w:val="28"/>
          <w:szCs w:val="28"/>
        </w:rPr>
        <w:t>（一）</w:t>
      </w:r>
      <w:r w:rsidR="00723D49" w:rsidRPr="007C3ED4">
        <w:rPr>
          <w:rFonts w:ascii="標楷體" w:eastAsia="標楷體" w:hAnsi="標楷體" w:cs="標楷體"/>
          <w:bCs/>
          <w:sz w:val="28"/>
          <w:szCs w:val="28"/>
        </w:rPr>
        <w:t>實施違法行為之主要構成部分者，其處罰金額得依本條例裁罰標準附表之裁罰基準表計算之裁罰金額或經認定屬本注意事項應減輕處罰者計算之裁罰金額再乘以四分之三。</w:t>
      </w:r>
    </w:p>
    <w:p w:rsidR="0031755A" w:rsidRPr="007C3ED4" w:rsidRDefault="003C3A82" w:rsidP="00282B66">
      <w:pPr>
        <w:pStyle w:val="Standard"/>
        <w:spacing w:line="460" w:lineRule="exact"/>
        <w:ind w:leftChars="200" w:left="1320" w:hangingChars="300" w:hanging="840"/>
        <w:jc w:val="both"/>
        <w:rPr>
          <w:rFonts w:ascii="標楷體" w:eastAsia="標楷體" w:hAnsi="標楷體" w:cs="標楷體"/>
          <w:bCs/>
          <w:sz w:val="28"/>
          <w:szCs w:val="28"/>
        </w:rPr>
      </w:pPr>
      <w:r>
        <w:rPr>
          <w:rFonts w:ascii="標楷體" w:eastAsia="標楷體" w:hAnsi="標楷體" w:cs="標楷體" w:hint="eastAsia"/>
          <w:bCs/>
          <w:sz w:val="28"/>
          <w:szCs w:val="28"/>
        </w:rPr>
        <w:t>（二）</w:t>
      </w:r>
      <w:r w:rsidR="00723D49" w:rsidRPr="007C3ED4">
        <w:rPr>
          <w:rFonts w:ascii="標楷體" w:eastAsia="標楷體" w:hAnsi="標楷體" w:cs="標楷體"/>
          <w:bCs/>
          <w:sz w:val="28"/>
          <w:szCs w:val="28"/>
        </w:rPr>
        <w:t>前款行為以外之部分者，其處罰金額得依本條例裁罰標準附表之裁罰基準表計算之裁罰金額或經認定屬本注意事項應減輕處罰者計算之裁罰金額再乘以二分之一。</w:t>
      </w:r>
    </w:p>
    <w:p w:rsidR="0031755A" w:rsidRPr="007C3ED4" w:rsidRDefault="00723D49" w:rsidP="00282B66">
      <w:pPr>
        <w:pStyle w:val="HTML"/>
        <w:spacing w:line="460" w:lineRule="exact"/>
        <w:ind w:leftChars="300" w:left="720" w:firstLineChars="200" w:firstLine="560"/>
        <w:jc w:val="both"/>
        <w:rPr>
          <w:sz w:val="28"/>
          <w:szCs w:val="28"/>
        </w:rPr>
      </w:pPr>
      <w:r w:rsidRPr="007C3ED4">
        <w:rPr>
          <w:rFonts w:ascii="標楷體" w:eastAsia="標楷體" w:hAnsi="標楷體" w:cs="標楷體"/>
          <w:sz w:val="28"/>
          <w:szCs w:val="28"/>
        </w:rPr>
        <w:t>前項</w:t>
      </w:r>
      <w:r w:rsidRPr="007C3ED4">
        <w:rPr>
          <w:rFonts w:ascii="標楷體" w:eastAsia="標楷體" w:hAnsi="標楷體" w:cs="標楷體"/>
          <w:bCs/>
          <w:sz w:val="28"/>
          <w:szCs w:val="28"/>
        </w:rPr>
        <w:t>所稱不法利益係指除合理薪資報酬以外尚有其它因該違法行為所得利益者。</w:t>
      </w:r>
    </w:p>
    <w:p w:rsidR="0031755A" w:rsidRPr="007C3ED4" w:rsidRDefault="00723D49" w:rsidP="00282B66">
      <w:pPr>
        <w:pStyle w:val="HTML"/>
        <w:spacing w:line="460" w:lineRule="exact"/>
        <w:ind w:leftChars="300" w:left="720" w:firstLineChars="200" w:firstLine="560"/>
        <w:jc w:val="both"/>
        <w:rPr>
          <w:sz w:val="28"/>
          <w:szCs w:val="28"/>
        </w:rPr>
      </w:pPr>
      <w:r w:rsidRPr="007C3ED4">
        <w:rPr>
          <w:rFonts w:ascii="標楷體" w:eastAsia="標楷體" w:hAnsi="標楷體" w:cs="標楷體"/>
          <w:sz w:val="28"/>
          <w:szCs w:val="28"/>
        </w:rPr>
        <w:lastRenderedPageBreak/>
        <w:t>第一</w:t>
      </w:r>
      <w:r w:rsidRPr="007C3ED4">
        <w:rPr>
          <w:rFonts w:ascii="標楷體" w:eastAsia="標楷體" w:hAnsi="標楷體" w:cs="標楷體"/>
          <w:bCs/>
          <w:sz w:val="28"/>
          <w:szCs w:val="28"/>
        </w:rPr>
        <w:t>項應受</w:t>
      </w:r>
      <w:r w:rsidRPr="003C3A82">
        <w:rPr>
          <w:rFonts w:ascii="標楷體" w:eastAsia="標楷體" w:hAnsi="標楷體" w:cs="標楷體"/>
          <w:sz w:val="28"/>
          <w:szCs w:val="28"/>
        </w:rPr>
        <w:t>處罰</w:t>
      </w:r>
      <w:r w:rsidRPr="007C3ED4">
        <w:rPr>
          <w:rFonts w:ascii="標楷體" w:eastAsia="標楷體" w:hAnsi="標楷體" w:cs="標楷體"/>
          <w:bCs/>
          <w:sz w:val="28"/>
          <w:szCs w:val="28"/>
        </w:rPr>
        <w:t>人，其裁罰金額不得低於各該款法定罰鍰最低額。但屬首度查獲不知法規者，其裁罰金額不得低於各該款法定罰鍰最低額之三分之一。</w:t>
      </w:r>
    </w:p>
    <w:p w:rsidR="006F41BA" w:rsidRPr="006F41BA" w:rsidRDefault="006F41BA" w:rsidP="00282B66">
      <w:pPr>
        <w:pStyle w:val="Standard"/>
        <w:spacing w:line="460" w:lineRule="exact"/>
        <w:ind w:left="840" w:hangingChars="300" w:hanging="840"/>
        <w:jc w:val="both"/>
        <w:rPr>
          <w:rFonts w:ascii="標楷體" w:eastAsia="標楷體" w:hAnsi="標楷體" w:cs="標楷體"/>
          <w:bCs/>
          <w:sz w:val="28"/>
          <w:szCs w:val="28"/>
        </w:rPr>
      </w:pPr>
      <w:r w:rsidRPr="006F41BA">
        <w:rPr>
          <w:rFonts w:ascii="標楷體" w:eastAsia="標楷體" w:hAnsi="標楷體" w:cs="標楷體" w:hint="eastAsia"/>
          <w:bCs/>
          <w:sz w:val="28"/>
          <w:szCs w:val="28"/>
        </w:rPr>
        <w:t>十三、違反本條例第六十二條第一項規定，應受處罰人之行為屬首度查獲並立即回復原狀或依執行機關規定期限內回復原狀，且其行為未致他人受損害、受傷或死亡，其處罰金額得依本條例裁罰標準附表計算之裁罰金額乘以二分之一計之。</w:t>
      </w:r>
    </w:p>
    <w:p w:rsidR="006F41BA" w:rsidRDefault="006F41BA" w:rsidP="00282B66">
      <w:pPr>
        <w:pStyle w:val="Standard"/>
        <w:spacing w:line="460" w:lineRule="exact"/>
        <w:ind w:leftChars="300" w:left="720" w:firstLineChars="200" w:firstLine="560"/>
        <w:jc w:val="both"/>
        <w:rPr>
          <w:rFonts w:ascii="標楷體" w:eastAsia="標楷體" w:hAnsi="標楷體" w:cs="標楷體"/>
          <w:bCs/>
          <w:sz w:val="28"/>
          <w:szCs w:val="28"/>
        </w:rPr>
      </w:pPr>
      <w:r w:rsidRPr="006F41BA">
        <w:rPr>
          <w:rFonts w:ascii="標楷體" w:eastAsia="標楷體" w:hAnsi="標楷體" w:cs="標楷體" w:hint="eastAsia"/>
          <w:bCs/>
          <w:sz w:val="28"/>
          <w:szCs w:val="28"/>
        </w:rPr>
        <w:t>前項應受處罰人，其裁罰金額不得低於各該款法定罰鍰最低額。但屬首度查獲不知法規者，其裁罰金額不得低於各該款法定罰鍰最低額之三分之一。</w:t>
      </w:r>
    </w:p>
    <w:p w:rsidR="0031755A" w:rsidRPr="007C3ED4" w:rsidRDefault="00723D49" w:rsidP="00282B66">
      <w:pPr>
        <w:pStyle w:val="Standard"/>
        <w:spacing w:line="460" w:lineRule="exact"/>
        <w:ind w:left="840" w:hangingChars="300" w:hanging="840"/>
        <w:jc w:val="both"/>
        <w:rPr>
          <w:rFonts w:ascii="標楷體" w:eastAsia="標楷體" w:hAnsi="標楷體" w:cs="標楷體"/>
          <w:bCs/>
          <w:sz w:val="28"/>
          <w:szCs w:val="28"/>
        </w:rPr>
      </w:pPr>
      <w:r w:rsidRPr="007C3ED4">
        <w:rPr>
          <w:rFonts w:ascii="標楷體" w:eastAsia="標楷體" w:hAnsi="標楷體" w:cs="標楷體" w:hint="eastAsia"/>
          <w:bCs/>
          <w:sz w:val="28"/>
          <w:szCs w:val="28"/>
        </w:rPr>
        <w:t>十四、</w:t>
      </w:r>
      <w:r w:rsidRPr="007C3ED4">
        <w:rPr>
          <w:rFonts w:ascii="標楷體" w:eastAsia="標楷體" w:hAnsi="標楷體" w:cs="標楷體"/>
          <w:bCs/>
          <w:sz w:val="28"/>
          <w:szCs w:val="28"/>
        </w:rPr>
        <w:t>考量受處罰者之資力，應受處罰人有下列各款之一者，裁量方式如下：</w:t>
      </w:r>
    </w:p>
    <w:p w:rsidR="0031755A" w:rsidRPr="007C3ED4" w:rsidRDefault="00806217" w:rsidP="00282B66">
      <w:pPr>
        <w:pStyle w:val="Standard"/>
        <w:spacing w:line="460" w:lineRule="exact"/>
        <w:ind w:leftChars="200" w:left="1320" w:hangingChars="300" w:hanging="840"/>
        <w:jc w:val="both"/>
        <w:rPr>
          <w:rFonts w:ascii="標楷體" w:eastAsia="標楷體" w:hAnsi="標楷體" w:cs="標楷體"/>
          <w:bCs/>
          <w:sz w:val="28"/>
          <w:szCs w:val="28"/>
        </w:rPr>
      </w:pP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一</w:t>
      </w: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屬所在地方政府列管當年度有案之低收入戶者，其處罰金額得依本條例裁罰標準附表之裁罰基準表計算之裁罰金額或經認定屬本注意事項應減輕處罰者計算之裁罰金額再乘以三分之一。</w:t>
      </w:r>
    </w:p>
    <w:p w:rsidR="0031755A" w:rsidRPr="007C3ED4" w:rsidRDefault="00806217" w:rsidP="00282B66">
      <w:pPr>
        <w:pStyle w:val="Standard"/>
        <w:spacing w:line="460" w:lineRule="exact"/>
        <w:ind w:leftChars="200" w:left="1320" w:hangingChars="300" w:hanging="840"/>
        <w:jc w:val="both"/>
        <w:rPr>
          <w:rFonts w:ascii="標楷體" w:eastAsia="標楷體" w:hAnsi="標楷體" w:cs="標楷體"/>
          <w:bCs/>
          <w:sz w:val="28"/>
          <w:szCs w:val="28"/>
        </w:rPr>
      </w:pP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二</w:t>
      </w: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屬所在地方政府列管當年度有案之中低收入戶者或經稅務機關提供之個人所得清單，其近三年年所得平均在新臺幣二十五萬元以下者，其處罰金額得依本條例裁罰標準附表之裁罰基準表計算之裁罰金額或經認定屬本注意事項應減輕處罰者計算之裁罰金額再乘以二分之一。</w:t>
      </w:r>
    </w:p>
    <w:p w:rsidR="0031755A" w:rsidRPr="007C3ED4" w:rsidRDefault="00723D49" w:rsidP="00282B66">
      <w:pPr>
        <w:pStyle w:val="HTML"/>
        <w:spacing w:line="460" w:lineRule="exact"/>
        <w:ind w:leftChars="300" w:left="720" w:firstLineChars="200" w:firstLine="560"/>
        <w:jc w:val="both"/>
        <w:rPr>
          <w:rFonts w:ascii="標楷體" w:eastAsia="標楷體" w:hAnsi="標楷體" w:cs="標楷體"/>
          <w:bCs/>
          <w:sz w:val="28"/>
          <w:szCs w:val="28"/>
        </w:rPr>
      </w:pPr>
      <w:r w:rsidRPr="007C3ED4">
        <w:rPr>
          <w:rFonts w:ascii="標楷體" w:eastAsia="標楷體" w:hAnsi="標楷體" w:cs="標楷體"/>
          <w:bCs/>
          <w:sz w:val="28"/>
          <w:szCs w:val="28"/>
        </w:rPr>
        <w:t>前項應受處罰人，其裁罰金額不得低於各該款法定罰鍰最低額。但屬首度查獲不知法規者，其裁罰金額不得低於各該款法定罰鍰最低額之三分之一。</w:t>
      </w:r>
    </w:p>
    <w:p w:rsidR="0031755A" w:rsidRPr="007C3ED4" w:rsidRDefault="00723D49" w:rsidP="00282B66">
      <w:pPr>
        <w:pStyle w:val="Standard"/>
        <w:spacing w:line="460" w:lineRule="exact"/>
        <w:ind w:left="840" w:hangingChars="300" w:hanging="840"/>
        <w:jc w:val="both"/>
        <w:rPr>
          <w:rFonts w:ascii="標楷體" w:eastAsia="標楷體" w:hAnsi="標楷體" w:cs="標楷體"/>
          <w:bCs/>
          <w:sz w:val="28"/>
          <w:szCs w:val="28"/>
        </w:rPr>
      </w:pPr>
      <w:r w:rsidRPr="007C3ED4">
        <w:rPr>
          <w:rFonts w:ascii="標楷體" w:eastAsia="標楷體" w:hAnsi="標楷體" w:cs="標楷體" w:hint="eastAsia"/>
          <w:bCs/>
          <w:sz w:val="28"/>
          <w:szCs w:val="28"/>
        </w:rPr>
        <w:t>十五、</w:t>
      </w:r>
      <w:r w:rsidRPr="007C3ED4">
        <w:rPr>
          <w:rFonts w:ascii="標楷體" w:eastAsia="標楷體" w:hAnsi="標楷體" w:cs="標楷體"/>
          <w:bCs/>
          <w:sz w:val="28"/>
          <w:szCs w:val="28"/>
        </w:rPr>
        <w:t>行政罰法第九條、第十二條、第十三條規定之欠缺責任能力及有免責事由之減免如下：</w:t>
      </w:r>
    </w:p>
    <w:p w:rsidR="0031755A" w:rsidRPr="007C3ED4" w:rsidRDefault="00B53E5A" w:rsidP="00282B66">
      <w:pPr>
        <w:pStyle w:val="Standard"/>
        <w:spacing w:line="460" w:lineRule="exact"/>
        <w:ind w:leftChars="200" w:left="1320" w:hangingChars="300" w:hanging="840"/>
        <w:jc w:val="both"/>
        <w:rPr>
          <w:sz w:val="28"/>
          <w:szCs w:val="28"/>
        </w:rPr>
      </w:pP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ㄧ</w:t>
      </w: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不予處罰：未滿十四歲人之行為或行為時因精神障礙或其他心智缺陷，致不能辨識其行為違法或欠缺依其辨識而行為之能力，且其不能辨識能力或依其辨識之行為能力之欠缺，非因故意或過失所自行招致者。</w:t>
      </w:r>
    </w:p>
    <w:p w:rsidR="0031755A" w:rsidRPr="007C3ED4" w:rsidRDefault="00B53E5A" w:rsidP="00282B66">
      <w:pPr>
        <w:pStyle w:val="Standard"/>
        <w:spacing w:line="460" w:lineRule="exact"/>
        <w:ind w:leftChars="200" w:left="1320" w:hangingChars="300" w:hanging="840"/>
        <w:jc w:val="both"/>
        <w:rPr>
          <w:sz w:val="28"/>
          <w:szCs w:val="28"/>
        </w:rPr>
      </w:pPr>
      <w:r>
        <w:rPr>
          <w:rFonts w:ascii="標楷體" w:eastAsia="標楷體" w:hAnsi="標楷體" w:cs="標楷體" w:hint="eastAsia"/>
          <w:bCs/>
          <w:sz w:val="28"/>
          <w:szCs w:val="28"/>
        </w:rPr>
        <w:lastRenderedPageBreak/>
        <w:t>（</w:t>
      </w:r>
      <w:r w:rsidR="00723D49" w:rsidRPr="007C3ED4">
        <w:rPr>
          <w:rFonts w:ascii="標楷體" w:eastAsia="標楷體" w:hAnsi="標楷體" w:cs="標楷體"/>
          <w:bCs/>
          <w:sz w:val="28"/>
          <w:szCs w:val="28"/>
        </w:rPr>
        <w:t>二</w:t>
      </w: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減輕處罰：十四歲以上未滿十八歲人之行為或行為時因精神障礙或其他心智缺陷、致其辨識行為違法或依其辨識而行為之能力，顯著降低，且其辨識能力或依其辨識之行為能力之降低，非因故意或過失所自行招致者。</w:t>
      </w:r>
    </w:p>
    <w:p w:rsidR="0031755A" w:rsidRPr="007C3ED4" w:rsidRDefault="00B53E5A" w:rsidP="00282B66">
      <w:pPr>
        <w:pStyle w:val="Standard"/>
        <w:spacing w:line="460" w:lineRule="exact"/>
        <w:ind w:leftChars="200" w:left="1320" w:hangingChars="300" w:hanging="840"/>
        <w:jc w:val="both"/>
        <w:rPr>
          <w:rFonts w:ascii="標楷體" w:eastAsia="標楷體" w:hAnsi="標楷體" w:cs="標楷體"/>
          <w:bCs/>
          <w:sz w:val="28"/>
          <w:szCs w:val="28"/>
        </w:rPr>
      </w:pPr>
      <w:r>
        <w:rPr>
          <w:rFonts w:ascii="標楷體" w:eastAsia="標楷體" w:hAnsi="標楷體" w:cs="標楷體" w:hint="eastAsia"/>
          <w:bCs/>
          <w:sz w:val="28"/>
          <w:szCs w:val="28"/>
        </w:rPr>
        <w:t>（三）</w:t>
      </w:r>
      <w:r w:rsidR="00723D49" w:rsidRPr="007C3ED4">
        <w:rPr>
          <w:rFonts w:ascii="標楷體" w:eastAsia="標楷體" w:hAnsi="標楷體" w:cs="標楷體"/>
          <w:bCs/>
          <w:sz w:val="28"/>
          <w:szCs w:val="28"/>
        </w:rPr>
        <w:t>因正當防衛或緊急避難致有違反行政法上義務之行為者，不予處罰。但其防衛或避難行為過當者，得減輕之。</w:t>
      </w:r>
    </w:p>
    <w:p w:rsidR="0031755A" w:rsidRPr="007C3ED4" w:rsidRDefault="00723D49" w:rsidP="00282B66">
      <w:pPr>
        <w:pStyle w:val="HTML"/>
        <w:spacing w:line="460" w:lineRule="exact"/>
        <w:ind w:leftChars="300" w:left="720" w:firstLineChars="200" w:firstLine="560"/>
        <w:jc w:val="both"/>
        <w:rPr>
          <w:sz w:val="28"/>
          <w:szCs w:val="28"/>
        </w:rPr>
      </w:pPr>
      <w:r w:rsidRPr="007C3ED4">
        <w:rPr>
          <w:rFonts w:ascii="標楷體" w:eastAsia="標楷體" w:hAnsi="標楷體" w:cs="標楷體"/>
          <w:bCs/>
          <w:sz w:val="28"/>
          <w:szCs w:val="28"/>
        </w:rPr>
        <w:t>依前項第二款認定，應減輕其處罰者，其應處罰鍰金額，依本條例裁罰標準附表之裁罰基準表計算之裁罰金額乘以二分之一計之。但不得低於各該款法定</w:t>
      </w:r>
      <w:r w:rsidRPr="007C3ED4">
        <w:rPr>
          <w:rFonts w:ascii="標楷體" w:eastAsia="標楷體" w:hAnsi="標楷體" w:cs="標楷體"/>
          <w:sz w:val="28"/>
          <w:szCs w:val="28"/>
        </w:rPr>
        <w:t>罰鍰</w:t>
      </w:r>
      <w:r w:rsidRPr="007C3ED4">
        <w:rPr>
          <w:rFonts w:ascii="標楷體" w:eastAsia="標楷體" w:hAnsi="標楷體" w:cs="標楷體"/>
          <w:bCs/>
          <w:sz w:val="28"/>
          <w:szCs w:val="28"/>
        </w:rPr>
        <w:t>最低額之二分之一。</w:t>
      </w:r>
    </w:p>
    <w:p w:rsidR="0031755A" w:rsidRPr="007C3ED4" w:rsidRDefault="00723D49" w:rsidP="00282B66">
      <w:pPr>
        <w:pStyle w:val="HTML"/>
        <w:spacing w:line="460" w:lineRule="exact"/>
        <w:ind w:leftChars="300" w:left="720" w:firstLineChars="200" w:firstLine="560"/>
        <w:jc w:val="both"/>
        <w:rPr>
          <w:rFonts w:ascii="標楷體" w:eastAsia="標楷體" w:hAnsi="標楷體" w:cs="標楷體"/>
          <w:bCs/>
          <w:sz w:val="28"/>
          <w:szCs w:val="28"/>
        </w:rPr>
      </w:pPr>
      <w:r w:rsidRPr="007C3ED4">
        <w:rPr>
          <w:rFonts w:ascii="標楷體" w:eastAsia="標楷體" w:hAnsi="標楷體" w:cs="標楷體"/>
          <w:bCs/>
          <w:sz w:val="28"/>
          <w:szCs w:val="28"/>
        </w:rPr>
        <w:t>第一項第三款認定，應減輕其處罰者，其應處罰鍰金額，依本條例裁罰標準附表之裁罰基準表計算之裁罰金額乘以三分之一計之。但不得低於各該款法定罰鍰最低額之三分之一。</w:t>
      </w:r>
    </w:p>
    <w:p w:rsidR="0031755A" w:rsidRPr="007C3ED4" w:rsidRDefault="00723D49" w:rsidP="00282B66">
      <w:pPr>
        <w:pStyle w:val="HTML"/>
        <w:spacing w:line="460" w:lineRule="exact"/>
        <w:ind w:leftChars="300" w:left="720" w:firstLineChars="200" w:firstLine="560"/>
        <w:jc w:val="both"/>
        <w:rPr>
          <w:rFonts w:ascii="標楷體" w:eastAsia="標楷體" w:hAnsi="標楷體" w:cs="標楷體"/>
          <w:bCs/>
          <w:sz w:val="28"/>
          <w:szCs w:val="28"/>
        </w:rPr>
      </w:pPr>
      <w:r w:rsidRPr="007C3ED4">
        <w:rPr>
          <w:rFonts w:ascii="標楷體" w:eastAsia="標楷體" w:hAnsi="標楷體" w:cs="標楷體"/>
          <w:bCs/>
          <w:sz w:val="28"/>
          <w:szCs w:val="28"/>
        </w:rPr>
        <w:t>同時符合前點及本點規定減輕處罰者，應以各點規定計算之罰鍰金額最低者裁處之。</w:t>
      </w:r>
    </w:p>
    <w:p w:rsidR="0031755A" w:rsidRPr="007C3ED4" w:rsidRDefault="00723D49" w:rsidP="00282B66">
      <w:pPr>
        <w:pStyle w:val="Standard"/>
        <w:spacing w:line="460" w:lineRule="exact"/>
        <w:ind w:left="840" w:hangingChars="300" w:hanging="840"/>
        <w:jc w:val="both"/>
        <w:rPr>
          <w:rFonts w:ascii="標楷體" w:eastAsia="標楷體" w:hAnsi="標楷體" w:cs="標楷體"/>
          <w:bCs/>
          <w:sz w:val="28"/>
          <w:szCs w:val="28"/>
        </w:rPr>
      </w:pPr>
      <w:r w:rsidRPr="007C3ED4">
        <w:rPr>
          <w:rFonts w:ascii="標楷體" w:eastAsia="標楷體" w:hAnsi="標楷體" w:cs="標楷體" w:hint="eastAsia"/>
          <w:bCs/>
          <w:sz w:val="28"/>
          <w:szCs w:val="28"/>
        </w:rPr>
        <w:t>十六、</w:t>
      </w:r>
      <w:r w:rsidRPr="007C3ED4">
        <w:rPr>
          <w:rFonts w:ascii="標楷體" w:eastAsia="標楷體" w:hAnsi="標楷體" w:cs="標楷體"/>
          <w:bCs/>
          <w:sz w:val="28"/>
          <w:szCs w:val="28"/>
        </w:rPr>
        <w:t>本注意事項認定應處以罰鍰處分者，依本條例裁罰標準附表之裁罰基準表計算其罰鍰金額後裁罰之。</w:t>
      </w:r>
    </w:p>
    <w:p w:rsidR="0031755A" w:rsidRPr="007C3ED4" w:rsidRDefault="00723D49" w:rsidP="00282B66">
      <w:pPr>
        <w:pStyle w:val="HTML"/>
        <w:spacing w:line="460" w:lineRule="exact"/>
        <w:ind w:leftChars="300" w:left="720" w:firstLineChars="200" w:firstLine="560"/>
        <w:jc w:val="both"/>
        <w:rPr>
          <w:rFonts w:ascii="標楷體" w:eastAsia="標楷體" w:hAnsi="標楷體" w:cs="標楷體"/>
          <w:bCs/>
          <w:sz w:val="28"/>
          <w:szCs w:val="28"/>
        </w:rPr>
      </w:pPr>
      <w:r w:rsidRPr="007C3ED4">
        <w:rPr>
          <w:rFonts w:ascii="標楷體" w:eastAsia="標楷體" w:hAnsi="標楷體" w:cs="標楷體"/>
          <w:bCs/>
          <w:sz w:val="28"/>
          <w:szCs w:val="28"/>
        </w:rPr>
        <w:t>前項及依本注意事項減輕處罰後之罰鍰金額，尾數以新臺幣千元為單位，不足千元部分，以千元計之。</w:t>
      </w:r>
    </w:p>
    <w:p w:rsidR="009F5583" w:rsidRPr="009F5583" w:rsidRDefault="009F5583" w:rsidP="00282B66">
      <w:pPr>
        <w:pStyle w:val="Standard"/>
        <w:spacing w:line="460" w:lineRule="exact"/>
        <w:ind w:left="840" w:hangingChars="300" w:hanging="840"/>
        <w:jc w:val="both"/>
        <w:rPr>
          <w:rFonts w:ascii="標楷體" w:eastAsia="標楷體" w:hAnsi="標楷體" w:cs="標楷體"/>
          <w:bCs/>
          <w:sz w:val="28"/>
          <w:szCs w:val="28"/>
        </w:rPr>
      </w:pPr>
      <w:r w:rsidRPr="009F5583">
        <w:rPr>
          <w:rFonts w:ascii="標楷體" w:eastAsia="標楷體" w:hAnsi="標楷體" w:cs="標楷體" w:hint="eastAsia"/>
          <w:bCs/>
          <w:sz w:val="28"/>
          <w:szCs w:val="28"/>
        </w:rPr>
        <w:t>十七、本署及各直轄市及縣（市）政府之裁處是否命行為人回復原狀，應考量行為人違法事項、地點及其違法情節輕重程度，檢討其必要性，不宜回復原狀者，應限期改善整復或即時停止違法行為。</w:t>
      </w:r>
    </w:p>
    <w:p w:rsidR="009F5583" w:rsidRDefault="009F5583" w:rsidP="00282B66">
      <w:pPr>
        <w:pStyle w:val="Standard"/>
        <w:spacing w:line="460" w:lineRule="exact"/>
        <w:ind w:leftChars="300" w:left="720" w:firstLineChars="200" w:firstLine="560"/>
        <w:jc w:val="both"/>
        <w:rPr>
          <w:rFonts w:ascii="標楷體" w:eastAsia="標楷體" w:hAnsi="標楷體" w:cs="標楷體"/>
          <w:bCs/>
          <w:sz w:val="28"/>
          <w:szCs w:val="28"/>
        </w:rPr>
      </w:pPr>
      <w:r w:rsidRPr="009F5583">
        <w:rPr>
          <w:rFonts w:ascii="標楷體" w:eastAsia="標楷體" w:hAnsi="標楷體" w:cs="標楷體" w:hint="eastAsia"/>
          <w:bCs/>
          <w:sz w:val="28"/>
          <w:szCs w:val="28"/>
        </w:rPr>
        <w:t>經確認應回復原狀者，應就實際狀況、實施行為人之能力，給予回復原狀必要之時日，並視其行為性質於處分書敘明未依規定期限回復原狀，將依行政執行法第二十九條規定代履行。如其行為不能由他人代為履行者，將依行政執行法第三十條規定處以怠金。</w:t>
      </w:r>
    </w:p>
    <w:p w:rsidR="00E552CC" w:rsidRPr="00E552CC" w:rsidRDefault="00E552CC" w:rsidP="00282B66">
      <w:pPr>
        <w:pStyle w:val="Standard"/>
        <w:spacing w:line="460" w:lineRule="exact"/>
        <w:ind w:left="84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十八、本署及各直轄市及縣（市）政府於執行取締違反本條例案件時，執行人員應向行為人出示執行職務之證明文件或顯示足資辨別之標誌，告知其所違反之法規，並確認行為人之身分，</w:t>
      </w:r>
      <w:r w:rsidRPr="00E552CC">
        <w:rPr>
          <w:rFonts w:ascii="標楷體" w:eastAsia="標楷體" w:hAnsi="標楷體" w:cs="標楷體" w:hint="eastAsia"/>
          <w:bCs/>
          <w:sz w:val="28"/>
          <w:szCs w:val="28"/>
        </w:rPr>
        <w:lastRenderedPageBreak/>
        <w:t>及針對現場狀況、設施或機具予以拍照存證，並依下列各款詳實記載於取締紀錄。</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（一）查獲時間地點。</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（二）違規機關、廠商或行為人之資料（包括名稱、姓名、性別、出生年月日、營利事業或身分證統一編號）。</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（三）會同執行單位及人員。</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（四）違反法令事實（就其事實敘明違反之法條規定，用語一致，其事實未涉之條項款者，不可納入）。</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（五）調查事項（確認其行為符合違反本條例各該條規定之構成要件）。</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（六）扣留之物應掣發收據，敘明其有無異議；如有異議應記明請其另具書面憑送上級機關決定。</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（七）違反之法令及行為人簽名（敘明事實、違反法規及將予以裁處之罰鍰及沒入處分，請行為人表示有無補充意見並簽名。拒絕簽名者，應於取締紀錄內依實載明）。</w:t>
      </w:r>
    </w:p>
    <w:p w:rsidR="00E552CC" w:rsidRPr="00E552CC" w:rsidRDefault="00E552CC" w:rsidP="00282B66">
      <w:pPr>
        <w:pStyle w:val="Standard"/>
        <w:spacing w:line="460" w:lineRule="exact"/>
        <w:ind w:leftChars="300" w:left="720" w:firstLineChars="200" w:firstLine="560"/>
        <w:jc w:val="both"/>
        <w:rPr>
          <w:rFonts w:ascii="標楷體" w:eastAsia="標楷體" w:hAnsi="標楷體" w:cs="標楷體"/>
          <w:bCs/>
          <w:sz w:val="28"/>
          <w:szCs w:val="28"/>
        </w:rPr>
      </w:pPr>
      <w:r w:rsidRPr="00E552CC">
        <w:rPr>
          <w:rFonts w:ascii="標楷體" w:eastAsia="標楷體" w:hAnsi="標楷體" w:cs="標楷體" w:hint="eastAsia"/>
          <w:bCs/>
          <w:sz w:val="28"/>
          <w:szCs w:val="28"/>
        </w:rPr>
        <w:t>前項確認身分時，行為人拒絕或規避身分之查證者，應依行政罰法第三十四條規定會同警察人員強制為之。</w:t>
      </w:r>
    </w:p>
    <w:p w:rsidR="00E552CC" w:rsidRPr="00E552CC" w:rsidRDefault="00E552CC" w:rsidP="00282B66">
      <w:pPr>
        <w:pStyle w:val="Standard"/>
        <w:spacing w:line="460" w:lineRule="exact"/>
        <w:ind w:leftChars="300" w:left="720" w:firstLineChars="200" w:firstLine="560"/>
        <w:jc w:val="both"/>
        <w:rPr>
          <w:rFonts w:ascii="標楷體" w:eastAsia="標楷體" w:hAnsi="標楷體" w:cs="標楷體"/>
          <w:bCs/>
          <w:sz w:val="28"/>
          <w:szCs w:val="28"/>
        </w:rPr>
      </w:pPr>
      <w:r w:rsidRPr="00E552CC">
        <w:rPr>
          <w:rFonts w:ascii="標楷體" w:eastAsia="標楷體" w:hAnsi="標楷體" w:cs="標楷體" w:hint="eastAsia"/>
          <w:bCs/>
          <w:sz w:val="28"/>
          <w:szCs w:val="28"/>
        </w:rPr>
        <w:t>執行機關並應調查下列事項，以作為裁處之依據：</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（一）行為人之精神狀態（行為人有精神狀態疑義者，得請其事後提出證明）。</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（二）受處分人所得利益是否超過法定最高罰鍰金額。</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（三）受處分人如為私法組織，其有代表權人有無行政罰法第十五條第一項及第二項所規定情形及其所得利益範圍。</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（四）未受處罰之行為人或他人有無因違規行為受有財產利益及其範圍。</w:t>
      </w:r>
    </w:p>
    <w:p w:rsidR="00E552CC" w:rsidRPr="00E552CC" w:rsidRDefault="00E552CC" w:rsidP="00282B66">
      <w:pPr>
        <w:pStyle w:val="Standard"/>
        <w:spacing w:line="460" w:lineRule="exact"/>
        <w:ind w:leftChars="200" w:left="1320" w:hangingChars="300" w:hanging="840"/>
        <w:jc w:val="both"/>
        <w:rPr>
          <w:rFonts w:ascii="標楷體" w:eastAsia="標楷體" w:hAnsi="標楷體" w:cs="標楷體"/>
          <w:bCs/>
          <w:sz w:val="28"/>
          <w:szCs w:val="28"/>
        </w:rPr>
      </w:pPr>
      <w:r w:rsidRPr="00E552CC">
        <w:rPr>
          <w:rFonts w:ascii="標楷體" w:eastAsia="標楷體" w:hAnsi="標楷體" w:cs="標楷體" w:hint="eastAsia"/>
          <w:bCs/>
          <w:sz w:val="28"/>
          <w:szCs w:val="28"/>
        </w:rPr>
        <w:t>（五）受處分人是否屬當地地方政府列管有案之低收入戶或中低收入戶及受處分人最近三年之年平均所得。</w:t>
      </w:r>
    </w:p>
    <w:p w:rsidR="00E552CC" w:rsidRPr="00E552CC" w:rsidRDefault="00E552CC" w:rsidP="00282B66">
      <w:pPr>
        <w:pStyle w:val="Standard"/>
        <w:spacing w:line="460" w:lineRule="exact"/>
        <w:ind w:leftChars="300" w:left="720" w:firstLineChars="200" w:firstLine="560"/>
        <w:jc w:val="both"/>
        <w:rPr>
          <w:rFonts w:ascii="標楷體" w:eastAsia="標楷體" w:hAnsi="標楷體" w:cs="標楷體"/>
          <w:bCs/>
          <w:sz w:val="28"/>
          <w:szCs w:val="28"/>
        </w:rPr>
      </w:pPr>
      <w:r w:rsidRPr="00E552CC">
        <w:rPr>
          <w:rFonts w:ascii="標楷體" w:eastAsia="標楷體" w:hAnsi="標楷體" w:cs="標楷體" w:hint="eastAsia"/>
          <w:bCs/>
          <w:sz w:val="28"/>
          <w:szCs w:val="28"/>
        </w:rPr>
        <w:t>本署及各直轄市政府及縣（市）政府對於上開調查事實及證據，除已於取締紀錄內載明，並經行為人簽名無異議者外，對於依前項第三款、第四款規定之處分前或其他認有必要再查</w:t>
      </w:r>
      <w:r w:rsidRPr="00E552CC">
        <w:rPr>
          <w:rFonts w:ascii="標楷體" w:eastAsia="標楷體" w:hAnsi="標楷體" w:cs="標楷體" w:hint="eastAsia"/>
          <w:bCs/>
          <w:sz w:val="28"/>
          <w:szCs w:val="28"/>
        </w:rPr>
        <w:lastRenderedPageBreak/>
        <w:t>證確認者，應再以書面通知相關人陳述意見。</w:t>
      </w:r>
    </w:p>
    <w:p w:rsidR="00E552CC" w:rsidRDefault="00E552CC" w:rsidP="00282B66">
      <w:pPr>
        <w:pStyle w:val="Standard"/>
        <w:spacing w:line="460" w:lineRule="exact"/>
        <w:ind w:leftChars="300" w:left="720" w:firstLineChars="200" w:firstLine="560"/>
        <w:jc w:val="both"/>
        <w:rPr>
          <w:rFonts w:ascii="標楷體" w:eastAsia="標楷體" w:hAnsi="標楷體" w:cs="標楷體"/>
          <w:bCs/>
          <w:sz w:val="28"/>
          <w:szCs w:val="28"/>
        </w:rPr>
      </w:pPr>
      <w:r w:rsidRPr="00E552CC">
        <w:rPr>
          <w:rFonts w:ascii="標楷體" w:eastAsia="標楷體" w:hAnsi="標楷體" w:cs="標楷體" w:hint="eastAsia"/>
          <w:bCs/>
          <w:sz w:val="28"/>
          <w:szCs w:val="28"/>
        </w:rPr>
        <w:t>執行機關於確認應受處罰人後，除本注意事項不予處罰者外，於無其他應再查明事項後，即依法裁處。</w:t>
      </w:r>
    </w:p>
    <w:p w:rsidR="0031755A" w:rsidRPr="007C3ED4" w:rsidRDefault="00723D49" w:rsidP="00282B66">
      <w:pPr>
        <w:pStyle w:val="Standard"/>
        <w:spacing w:line="460" w:lineRule="exact"/>
        <w:ind w:left="840" w:hangingChars="300" w:hanging="840"/>
        <w:jc w:val="both"/>
        <w:rPr>
          <w:rFonts w:ascii="標楷體" w:eastAsia="標楷體" w:hAnsi="標楷體" w:cs="標楷體"/>
          <w:bCs/>
          <w:sz w:val="28"/>
          <w:szCs w:val="28"/>
        </w:rPr>
      </w:pPr>
      <w:r w:rsidRPr="007C3ED4">
        <w:rPr>
          <w:rFonts w:ascii="標楷體" w:eastAsia="標楷體" w:hAnsi="標楷體" w:cs="標楷體" w:hint="eastAsia"/>
          <w:bCs/>
          <w:sz w:val="28"/>
          <w:szCs w:val="28"/>
        </w:rPr>
        <w:t>十九、</w:t>
      </w:r>
      <w:r w:rsidRPr="007C3ED4">
        <w:rPr>
          <w:rFonts w:ascii="標楷體" w:eastAsia="標楷體" w:hAnsi="標楷體" w:cs="標楷體"/>
          <w:bCs/>
          <w:sz w:val="28"/>
          <w:szCs w:val="28"/>
        </w:rPr>
        <w:t>一行為同時觸犯刑事法律及違反本條例義務規定者，依行政罰法第二十六條規定刑事先行原則，執行機關應於取締後將相關紀錄及證明文件先移送司法機關偵辦並列管追蹤，於其經不起訴、緩起訴處分確定或為無罪、免訴、不受理、不付審理、免刑、緩刑、不付保護處分之裁判確定者，始得依違反本條例規定之事實，裁處之。</w:t>
      </w:r>
    </w:p>
    <w:p w:rsidR="0031755A" w:rsidRPr="007C3ED4" w:rsidRDefault="00723D49" w:rsidP="00282B66">
      <w:pPr>
        <w:pStyle w:val="Standard"/>
        <w:spacing w:line="460" w:lineRule="exact"/>
        <w:ind w:leftChars="300" w:left="720" w:firstLineChars="200" w:firstLine="560"/>
        <w:jc w:val="both"/>
        <w:rPr>
          <w:rFonts w:ascii="標楷體" w:eastAsia="標楷體" w:hAnsi="標楷體" w:cs="標楷體"/>
          <w:bCs/>
          <w:sz w:val="28"/>
          <w:szCs w:val="28"/>
        </w:rPr>
      </w:pPr>
      <w:r w:rsidRPr="007C3ED4">
        <w:rPr>
          <w:rFonts w:ascii="標楷體" w:eastAsia="標楷體" w:hAnsi="標楷體" w:cs="標楷體"/>
          <w:bCs/>
          <w:sz w:val="28"/>
          <w:szCs w:val="28"/>
        </w:rPr>
        <w:t>第一項行為經緩起訴處分或緩刑宣告確定且經命向公庫或指定之公益團體、地方自治團體、政府機關、政府機構、行政法人、社區或其他符合公益目的之機構或團體，支付一定之金額或提供義務勞務者，其所支付之金額或提供之勞務，應於依本注意事項規定裁處之罰鍰內扣抵之。</w:t>
      </w:r>
    </w:p>
    <w:p w:rsidR="0031755A" w:rsidRPr="007C3ED4" w:rsidRDefault="00723D49" w:rsidP="00282B66">
      <w:pPr>
        <w:pStyle w:val="Standard"/>
        <w:spacing w:line="460" w:lineRule="exact"/>
        <w:ind w:leftChars="300" w:left="720" w:firstLineChars="200" w:firstLine="560"/>
        <w:jc w:val="both"/>
        <w:rPr>
          <w:sz w:val="28"/>
          <w:szCs w:val="28"/>
        </w:rPr>
      </w:pPr>
      <w:r w:rsidRPr="007C3ED4">
        <w:rPr>
          <w:rFonts w:ascii="標楷體" w:eastAsia="標楷體" w:hAnsi="標楷體" w:cs="標楷體"/>
          <w:bCs/>
          <w:sz w:val="28"/>
          <w:szCs w:val="28"/>
        </w:rPr>
        <w:t>前項勞務扣抵罰鍰之金額，按最初裁處時之每小時基本工資乘以義務勞務時數核算。</w:t>
      </w:r>
    </w:p>
    <w:p w:rsidR="0031755A" w:rsidRPr="007C3ED4" w:rsidRDefault="00723D49" w:rsidP="00282B66">
      <w:pPr>
        <w:pStyle w:val="Standard"/>
        <w:spacing w:line="460" w:lineRule="exact"/>
        <w:ind w:left="840" w:hangingChars="300" w:hanging="840"/>
        <w:jc w:val="both"/>
        <w:rPr>
          <w:rFonts w:ascii="標楷體" w:eastAsia="標楷體" w:hAnsi="標楷體" w:cs="標楷體"/>
          <w:bCs/>
          <w:sz w:val="28"/>
          <w:szCs w:val="28"/>
        </w:rPr>
      </w:pPr>
      <w:r w:rsidRPr="007C3ED4">
        <w:rPr>
          <w:rFonts w:ascii="標楷體" w:eastAsia="標楷體" w:hAnsi="標楷體" w:cs="標楷體" w:hint="eastAsia"/>
          <w:bCs/>
          <w:sz w:val="28"/>
          <w:szCs w:val="28"/>
        </w:rPr>
        <w:t>二十、</w:t>
      </w:r>
      <w:r w:rsidRPr="007C3ED4">
        <w:rPr>
          <w:rFonts w:ascii="標楷體" w:eastAsia="標楷體" w:hAnsi="標楷體" w:cs="標楷體"/>
          <w:bCs/>
          <w:sz w:val="28"/>
          <w:szCs w:val="28"/>
        </w:rPr>
        <w:t>行政罰法第三十一條規定之單一行為違反數個行政法上義務或同一法上數個義務之處罰如下：</w:t>
      </w:r>
    </w:p>
    <w:p w:rsidR="0031755A" w:rsidRPr="007C3ED4" w:rsidRDefault="00E10A6A" w:rsidP="00282B66">
      <w:pPr>
        <w:pStyle w:val="Standard"/>
        <w:spacing w:line="460" w:lineRule="exact"/>
        <w:ind w:leftChars="200" w:left="1320" w:hangingChars="300" w:hanging="840"/>
        <w:jc w:val="both"/>
        <w:rPr>
          <w:rFonts w:ascii="標楷體" w:eastAsia="標楷體" w:hAnsi="標楷體" w:cs="標楷體"/>
          <w:bCs/>
          <w:sz w:val="28"/>
          <w:szCs w:val="28"/>
        </w:rPr>
      </w:pP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一</w:t>
      </w: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一行為違反數個行政法上義務規定而應處罰者，依法定罰鍰額最高之規定處罰。但應注意不得低於各該規定之罰鍰最低額。</w:t>
      </w:r>
    </w:p>
    <w:p w:rsidR="0031755A" w:rsidRPr="007C3ED4" w:rsidRDefault="00E10A6A" w:rsidP="00282B66">
      <w:pPr>
        <w:pStyle w:val="Standard"/>
        <w:spacing w:line="460" w:lineRule="exact"/>
        <w:ind w:leftChars="200" w:left="1320" w:hangingChars="300" w:hanging="840"/>
        <w:jc w:val="both"/>
        <w:rPr>
          <w:rFonts w:ascii="標楷體" w:eastAsia="標楷體" w:hAnsi="標楷體" w:cs="標楷體"/>
          <w:bCs/>
          <w:sz w:val="28"/>
          <w:szCs w:val="28"/>
        </w:rPr>
      </w:pP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二</w:t>
      </w: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一行為違反數個行政法上義務而應處罰鍰，數機關均有管轄權，且法定罰鍰額相同者，因本條例為特別法，故優先適用。</w:t>
      </w:r>
    </w:p>
    <w:p w:rsidR="0031755A" w:rsidRPr="007C3ED4" w:rsidRDefault="00E10A6A" w:rsidP="00282B66">
      <w:pPr>
        <w:pStyle w:val="Standard"/>
        <w:spacing w:line="460" w:lineRule="exact"/>
        <w:ind w:leftChars="200" w:left="1320" w:hangingChars="300" w:hanging="840"/>
        <w:jc w:val="both"/>
        <w:rPr>
          <w:rFonts w:ascii="標楷體" w:eastAsia="標楷體" w:hAnsi="標楷體" w:cs="標楷體"/>
          <w:bCs/>
          <w:sz w:val="28"/>
          <w:szCs w:val="28"/>
        </w:rPr>
      </w:pP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三</w:t>
      </w:r>
      <w:r>
        <w:rPr>
          <w:rFonts w:ascii="標楷體" w:eastAsia="標楷體" w:hAnsi="標楷體" w:cs="標楷體" w:hint="eastAsia"/>
          <w:bCs/>
          <w:sz w:val="28"/>
          <w:szCs w:val="28"/>
        </w:rPr>
        <w:t>）</w:t>
      </w:r>
      <w:r w:rsidR="00723D49" w:rsidRPr="007C3ED4">
        <w:rPr>
          <w:rFonts w:ascii="標楷體" w:eastAsia="標楷體" w:hAnsi="標楷體" w:cs="標楷體"/>
          <w:bCs/>
          <w:sz w:val="28"/>
          <w:szCs w:val="28"/>
        </w:rPr>
        <w:t>一行為違反同法規定之數個行政法上義務，依法定罰鍰額最高之規定處罰。</w:t>
      </w:r>
    </w:p>
    <w:sectPr w:rsidR="0031755A" w:rsidRPr="007C3ED4">
      <w:footerReference w:type="default" r:id="rId7"/>
      <w:pgSz w:w="11906" w:h="16838"/>
      <w:pgMar w:top="1440" w:right="1800" w:bottom="1440" w:left="1800" w:header="851" w:footer="79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9B" w:rsidRDefault="00723D49">
      <w:r>
        <w:separator/>
      </w:r>
    </w:p>
  </w:endnote>
  <w:endnote w:type="continuationSeparator" w:id="0">
    <w:p w:rsidR="00C67F9B" w:rsidRDefault="0072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細明體, MingLiU">
    <w:altName w:val="細明體"/>
    <w:charset w:val="00"/>
    <w:family w:val="moder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202" w:rsidRDefault="0078751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9B" w:rsidRDefault="00723D49">
      <w:r>
        <w:rPr>
          <w:color w:val="000000"/>
        </w:rPr>
        <w:separator/>
      </w:r>
    </w:p>
  </w:footnote>
  <w:footnote w:type="continuationSeparator" w:id="0">
    <w:p w:rsidR="00C67F9B" w:rsidRDefault="0072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59"/>
    <w:multiLevelType w:val="multilevel"/>
    <w:tmpl w:val="AB04382C"/>
    <w:styleLink w:val="WW8Num37"/>
    <w:lvl w:ilvl="0">
      <w:start w:val="1"/>
      <w:numFmt w:val="decimal"/>
      <w:lvlText w:val="%1."/>
      <w:lvlJc w:val="left"/>
      <w:pPr>
        <w:ind w:left="439" w:hanging="480"/>
      </w:pPr>
    </w:lvl>
    <w:lvl w:ilvl="1">
      <w:start w:val="1"/>
      <w:numFmt w:val="ideographTraditional"/>
      <w:lvlText w:val="%2、"/>
      <w:lvlJc w:val="left"/>
      <w:pPr>
        <w:ind w:left="919" w:hanging="480"/>
      </w:pPr>
    </w:lvl>
    <w:lvl w:ilvl="2">
      <w:start w:val="1"/>
      <w:numFmt w:val="lowerRoman"/>
      <w:lvlText w:val="%3."/>
      <w:lvlJc w:val="right"/>
      <w:pPr>
        <w:ind w:left="1399" w:hanging="480"/>
      </w:pPr>
    </w:lvl>
    <w:lvl w:ilvl="3">
      <w:start w:val="1"/>
      <w:numFmt w:val="decimal"/>
      <w:lvlText w:val="%4."/>
      <w:lvlJc w:val="left"/>
      <w:pPr>
        <w:ind w:left="1879" w:hanging="480"/>
      </w:pPr>
    </w:lvl>
    <w:lvl w:ilvl="4">
      <w:start w:val="1"/>
      <w:numFmt w:val="ideographTraditional"/>
      <w:lvlText w:val="%5、"/>
      <w:lvlJc w:val="left"/>
      <w:pPr>
        <w:ind w:left="2359" w:hanging="480"/>
      </w:pPr>
    </w:lvl>
    <w:lvl w:ilvl="5">
      <w:start w:val="1"/>
      <w:numFmt w:val="lowerRoman"/>
      <w:lvlText w:val="%6."/>
      <w:lvlJc w:val="right"/>
      <w:pPr>
        <w:ind w:left="2839" w:hanging="480"/>
      </w:pPr>
    </w:lvl>
    <w:lvl w:ilvl="6">
      <w:start w:val="1"/>
      <w:numFmt w:val="decimal"/>
      <w:lvlText w:val="%7."/>
      <w:lvlJc w:val="left"/>
      <w:pPr>
        <w:ind w:left="3319" w:hanging="480"/>
      </w:pPr>
    </w:lvl>
    <w:lvl w:ilvl="7">
      <w:start w:val="1"/>
      <w:numFmt w:val="ideographTraditional"/>
      <w:lvlText w:val="%8、"/>
      <w:lvlJc w:val="left"/>
      <w:pPr>
        <w:ind w:left="3799" w:hanging="480"/>
      </w:pPr>
    </w:lvl>
    <w:lvl w:ilvl="8">
      <w:start w:val="1"/>
      <w:numFmt w:val="lowerRoman"/>
      <w:lvlText w:val="%9."/>
      <w:lvlJc w:val="right"/>
      <w:pPr>
        <w:ind w:left="4279" w:hanging="480"/>
      </w:pPr>
    </w:lvl>
  </w:abstractNum>
  <w:abstractNum w:abstractNumId="1" w15:restartNumberingAfterBreak="0">
    <w:nsid w:val="062D0D96"/>
    <w:multiLevelType w:val="multilevel"/>
    <w:tmpl w:val="C0BC6266"/>
    <w:styleLink w:val="WW8Num33"/>
    <w:lvl w:ilvl="0">
      <w:start w:val="1"/>
      <w:numFmt w:val="japaneseCounting"/>
      <w:lvlText w:val="(%1)"/>
      <w:lvlJc w:val="left"/>
      <w:pPr>
        <w:ind w:left="1159" w:hanging="36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2" w15:restartNumberingAfterBreak="0">
    <w:nsid w:val="088575F8"/>
    <w:multiLevelType w:val="multilevel"/>
    <w:tmpl w:val="099ADB16"/>
    <w:styleLink w:val="WW8Num16"/>
    <w:lvl w:ilvl="0">
      <w:start w:val="1"/>
      <w:numFmt w:val="japaneseCounting"/>
      <w:lvlText w:val="(%1)"/>
      <w:lvlJc w:val="left"/>
      <w:pPr>
        <w:ind w:left="132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90D5BDE"/>
    <w:multiLevelType w:val="multilevel"/>
    <w:tmpl w:val="320EC350"/>
    <w:styleLink w:val="WW8Num28"/>
    <w:lvl w:ilvl="0">
      <w:start w:val="3"/>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0D517C"/>
    <w:multiLevelType w:val="multilevel"/>
    <w:tmpl w:val="983A678A"/>
    <w:styleLink w:val="WW8Num21"/>
    <w:lvl w:ilvl="0">
      <w:start w:val="1"/>
      <w:numFmt w:val="decimal"/>
      <w:lvlText w:val="%1)"/>
      <w:lvlJc w:val="left"/>
      <w:pPr>
        <w:ind w:left="1920" w:hanging="360"/>
      </w:pPr>
      <w:rPr>
        <w:rFonts w:ascii="標楷體" w:eastAsia="標楷體" w:hAnsi="標楷體" w:cs="細明體, MingLiU"/>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5" w15:restartNumberingAfterBreak="0">
    <w:nsid w:val="0FC4022F"/>
    <w:multiLevelType w:val="multilevel"/>
    <w:tmpl w:val="CBFC1F84"/>
    <w:styleLink w:val="WW8Num11"/>
    <w:lvl w:ilvl="0">
      <w:start w:val="1"/>
      <w:numFmt w:val="japaneseCounting"/>
      <w:lvlText w:val="%1、"/>
      <w:lvlJc w:val="left"/>
      <w:pPr>
        <w:ind w:left="680" w:hanging="680"/>
      </w:pPr>
    </w:lvl>
    <w:lvl w:ilvl="1">
      <w:start w:val="1"/>
      <w:numFmt w:val="decimal"/>
      <w:lvlText w:val="%2."/>
      <w:lvlJc w:val="left"/>
      <w:pPr>
        <w:ind w:left="737" w:hanging="453"/>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7255EF"/>
    <w:multiLevelType w:val="multilevel"/>
    <w:tmpl w:val="E4CE6CB6"/>
    <w:styleLink w:val="WW8Num14"/>
    <w:lvl w:ilvl="0">
      <w:start w:val="1"/>
      <w:numFmt w:val="japaneseCounting"/>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92C75A6"/>
    <w:multiLevelType w:val="multilevel"/>
    <w:tmpl w:val="4CE8C7FA"/>
    <w:styleLink w:val="WW8Num24"/>
    <w:lvl w:ilvl="0">
      <w:start w:val="1"/>
      <w:numFmt w:val="japaneseCounting"/>
      <w:suff w:val="nothing"/>
      <w:lvlText w:val="（%1）"/>
      <w:lvlJc w:val="left"/>
      <w:pPr>
        <w:ind w:left="1145"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1A166845"/>
    <w:multiLevelType w:val="multilevel"/>
    <w:tmpl w:val="DD720316"/>
    <w:styleLink w:val="WW8Num3"/>
    <w:lvl w:ilvl="0">
      <w:start w:val="1"/>
      <w:numFmt w:val="japaneseCounting"/>
      <w:lvlText w:val="（%1）"/>
      <w:lvlJc w:val="left"/>
      <w:pPr>
        <w:ind w:left="1138" w:hanging="720"/>
      </w:pPr>
    </w:lvl>
    <w:lvl w:ilvl="1">
      <w:start w:val="1"/>
      <w:numFmt w:val="ideographTraditional"/>
      <w:lvlText w:val="%2、"/>
      <w:lvlJc w:val="left"/>
      <w:pPr>
        <w:ind w:left="1378" w:hanging="480"/>
      </w:pPr>
    </w:lvl>
    <w:lvl w:ilvl="2">
      <w:start w:val="1"/>
      <w:numFmt w:val="lowerRoman"/>
      <w:lvlText w:val="%3."/>
      <w:lvlJc w:val="right"/>
      <w:pPr>
        <w:ind w:left="1858" w:hanging="480"/>
      </w:pPr>
    </w:lvl>
    <w:lvl w:ilvl="3">
      <w:start w:val="1"/>
      <w:numFmt w:val="decimal"/>
      <w:lvlText w:val="%4."/>
      <w:lvlJc w:val="left"/>
      <w:pPr>
        <w:ind w:left="2338" w:hanging="480"/>
      </w:pPr>
    </w:lvl>
    <w:lvl w:ilvl="4">
      <w:start w:val="1"/>
      <w:numFmt w:val="ideographTraditional"/>
      <w:lvlText w:val="%5、"/>
      <w:lvlJc w:val="left"/>
      <w:pPr>
        <w:ind w:left="2818" w:hanging="480"/>
      </w:pPr>
    </w:lvl>
    <w:lvl w:ilvl="5">
      <w:start w:val="1"/>
      <w:numFmt w:val="lowerRoman"/>
      <w:lvlText w:val="%6."/>
      <w:lvlJc w:val="right"/>
      <w:pPr>
        <w:ind w:left="3298" w:hanging="480"/>
      </w:pPr>
    </w:lvl>
    <w:lvl w:ilvl="6">
      <w:start w:val="1"/>
      <w:numFmt w:val="decimal"/>
      <w:lvlText w:val="%7."/>
      <w:lvlJc w:val="left"/>
      <w:pPr>
        <w:ind w:left="3778" w:hanging="480"/>
      </w:pPr>
    </w:lvl>
    <w:lvl w:ilvl="7">
      <w:start w:val="1"/>
      <w:numFmt w:val="ideographTraditional"/>
      <w:lvlText w:val="%8、"/>
      <w:lvlJc w:val="left"/>
      <w:pPr>
        <w:ind w:left="4258" w:hanging="480"/>
      </w:pPr>
    </w:lvl>
    <w:lvl w:ilvl="8">
      <w:start w:val="1"/>
      <w:numFmt w:val="lowerRoman"/>
      <w:lvlText w:val="%9."/>
      <w:lvlJc w:val="right"/>
      <w:pPr>
        <w:ind w:left="4738" w:hanging="480"/>
      </w:pPr>
    </w:lvl>
  </w:abstractNum>
  <w:abstractNum w:abstractNumId="9" w15:restartNumberingAfterBreak="0">
    <w:nsid w:val="203F39D3"/>
    <w:multiLevelType w:val="multilevel"/>
    <w:tmpl w:val="1E0AE81A"/>
    <w:styleLink w:val="WW8Num25"/>
    <w:lvl w:ilvl="0">
      <w:start w:val="1"/>
      <w:numFmt w:val="japaneseCounting"/>
      <w:lvlText w:val="%1、"/>
      <w:lvlJc w:val="left"/>
      <w:pPr>
        <w:ind w:left="680" w:hanging="680"/>
      </w:pPr>
    </w:lvl>
    <w:lvl w:ilvl="1">
      <w:start w:val="1"/>
      <w:numFmt w:val="decimal"/>
      <w:lvlText w:val="%2."/>
      <w:lvlJc w:val="left"/>
      <w:pPr>
        <w:ind w:left="737" w:hanging="397"/>
      </w:pPr>
    </w:lvl>
    <w:lvl w:ilvl="2">
      <w:start w:val="1"/>
      <w:numFmt w:val="japaneseCounting"/>
      <w:lvlText w:val="（%3）"/>
      <w:lvlJc w:val="left"/>
      <w:pPr>
        <w:ind w:left="1588" w:hanging="1021"/>
      </w:pPr>
      <w:rPr>
        <w:rFonts w:ascii="Times New Roman" w:eastAsia="標楷體"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B2C6D15"/>
    <w:multiLevelType w:val="multilevel"/>
    <w:tmpl w:val="37F63204"/>
    <w:styleLink w:val="WW8Num32"/>
    <w:lvl w:ilvl="0">
      <w:start w:val="6"/>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D7466D6"/>
    <w:multiLevelType w:val="multilevel"/>
    <w:tmpl w:val="C31CAAE4"/>
    <w:styleLink w:val="WW8Num35"/>
    <w:lvl w:ilvl="0">
      <w:start w:val="1"/>
      <w:numFmt w:val="japaneseCounting"/>
      <w:lvlText w:val="%1、"/>
      <w:lvlJc w:val="left"/>
      <w:pPr>
        <w:ind w:left="360" w:hanging="480"/>
      </w:pPr>
      <w:rPr>
        <w:rFonts w:ascii="標楷體" w:eastAsia="標楷體" w:hAnsi="標楷體" w:cs="標楷體"/>
        <w:bCs/>
        <w:sz w:val="32"/>
      </w:rPr>
    </w:lvl>
    <w:lvl w:ilvl="1">
      <w:start w:val="1"/>
      <w:numFmt w:val="ideographTraditional"/>
      <w:lvlText w:val="%2、"/>
      <w:lvlJc w:val="left"/>
      <w:pPr>
        <w:ind w:left="840" w:hanging="480"/>
      </w:pPr>
    </w:lvl>
    <w:lvl w:ilvl="2">
      <w:start w:val="1"/>
      <w:numFmt w:val="lowerRoman"/>
      <w:lvlText w:val="%3."/>
      <w:lvlJc w:val="right"/>
      <w:pPr>
        <w:ind w:left="1320" w:hanging="480"/>
      </w:pPr>
    </w:lvl>
    <w:lvl w:ilvl="3">
      <w:start w:val="1"/>
      <w:numFmt w:val="decimal"/>
      <w:lvlText w:val="%4."/>
      <w:lvlJc w:val="left"/>
      <w:pPr>
        <w:ind w:left="1800" w:hanging="480"/>
      </w:pPr>
    </w:lvl>
    <w:lvl w:ilvl="4">
      <w:start w:val="1"/>
      <w:numFmt w:val="ideographTraditional"/>
      <w:lvlText w:val="%5、"/>
      <w:lvlJc w:val="left"/>
      <w:pPr>
        <w:ind w:left="2280" w:hanging="480"/>
      </w:pPr>
    </w:lvl>
    <w:lvl w:ilvl="5">
      <w:start w:val="1"/>
      <w:numFmt w:val="lowerRoman"/>
      <w:lvlText w:val="%6."/>
      <w:lvlJc w:val="right"/>
      <w:pPr>
        <w:ind w:left="2760" w:hanging="480"/>
      </w:pPr>
    </w:lvl>
    <w:lvl w:ilvl="6">
      <w:start w:val="1"/>
      <w:numFmt w:val="decimal"/>
      <w:lvlText w:val="%7."/>
      <w:lvlJc w:val="left"/>
      <w:pPr>
        <w:ind w:left="3240" w:hanging="480"/>
      </w:pPr>
    </w:lvl>
    <w:lvl w:ilvl="7">
      <w:start w:val="1"/>
      <w:numFmt w:val="ideographTraditional"/>
      <w:lvlText w:val="%8、"/>
      <w:lvlJc w:val="left"/>
      <w:pPr>
        <w:ind w:left="3720" w:hanging="480"/>
      </w:pPr>
    </w:lvl>
    <w:lvl w:ilvl="8">
      <w:start w:val="1"/>
      <w:numFmt w:val="lowerRoman"/>
      <w:lvlText w:val="%9."/>
      <w:lvlJc w:val="right"/>
      <w:pPr>
        <w:ind w:left="4200" w:hanging="480"/>
      </w:pPr>
    </w:lvl>
  </w:abstractNum>
  <w:abstractNum w:abstractNumId="12" w15:restartNumberingAfterBreak="0">
    <w:nsid w:val="2ED30136"/>
    <w:multiLevelType w:val="multilevel"/>
    <w:tmpl w:val="4ED8417E"/>
    <w:styleLink w:val="WW8Num36"/>
    <w:lvl w:ilvl="0">
      <w:start w:val="1"/>
      <w:numFmt w:val="japaneseCounting"/>
      <w:suff w:val="nothing"/>
      <w:lvlText w:val="（%1）"/>
      <w:lvlJc w:val="left"/>
      <w:pPr>
        <w:ind w:left="1145"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35B04F2D"/>
    <w:multiLevelType w:val="multilevel"/>
    <w:tmpl w:val="6734B978"/>
    <w:styleLink w:val="WW8Num38"/>
    <w:lvl w:ilvl="0">
      <w:start w:val="1"/>
      <w:numFmt w:val="japaneseCounting"/>
      <w:lvlText w:val="%1、"/>
      <w:lvlJc w:val="left"/>
      <w:pPr>
        <w:ind w:left="452" w:hanging="480"/>
      </w:pPr>
    </w:lvl>
    <w:lvl w:ilvl="1">
      <w:start w:val="1"/>
      <w:numFmt w:val="ideographTradition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ideographTradition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ideographTraditional"/>
      <w:lvlText w:val="%8、"/>
      <w:lvlJc w:val="left"/>
      <w:pPr>
        <w:ind w:left="3812" w:hanging="480"/>
      </w:pPr>
    </w:lvl>
    <w:lvl w:ilvl="8">
      <w:start w:val="1"/>
      <w:numFmt w:val="lowerRoman"/>
      <w:lvlText w:val="%9."/>
      <w:lvlJc w:val="right"/>
      <w:pPr>
        <w:ind w:left="4292" w:hanging="480"/>
      </w:pPr>
    </w:lvl>
  </w:abstractNum>
  <w:abstractNum w:abstractNumId="14" w15:restartNumberingAfterBreak="0">
    <w:nsid w:val="360F2457"/>
    <w:multiLevelType w:val="multilevel"/>
    <w:tmpl w:val="A4CCB14C"/>
    <w:styleLink w:val="WW8Num34"/>
    <w:lvl w:ilvl="0">
      <w:start w:val="1"/>
      <w:numFmt w:val="japaneseCounting"/>
      <w:suff w:val="nothing"/>
      <w:lvlText w:val="（%1）"/>
      <w:lvlJc w:val="left"/>
      <w:pPr>
        <w:ind w:left="1145"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37E7503D"/>
    <w:multiLevelType w:val="multilevel"/>
    <w:tmpl w:val="E4123116"/>
    <w:styleLink w:val="WW8Num7"/>
    <w:lvl w:ilvl="0">
      <w:start w:val="1"/>
      <w:numFmt w:val="japaneseCounting"/>
      <w:lvlText w:val="%1、"/>
      <w:lvlJc w:val="left"/>
      <w:pPr>
        <w:ind w:left="439" w:hanging="480"/>
      </w:pPr>
    </w:lvl>
    <w:lvl w:ilvl="1">
      <w:start w:val="1"/>
      <w:numFmt w:val="ideographTraditional"/>
      <w:lvlText w:val="%2、"/>
      <w:lvlJc w:val="left"/>
      <w:pPr>
        <w:ind w:left="919" w:hanging="480"/>
      </w:pPr>
    </w:lvl>
    <w:lvl w:ilvl="2">
      <w:start w:val="1"/>
      <w:numFmt w:val="lowerRoman"/>
      <w:lvlText w:val="%3."/>
      <w:lvlJc w:val="right"/>
      <w:pPr>
        <w:ind w:left="1399" w:hanging="480"/>
      </w:pPr>
    </w:lvl>
    <w:lvl w:ilvl="3">
      <w:start w:val="1"/>
      <w:numFmt w:val="decimal"/>
      <w:lvlText w:val="%4."/>
      <w:lvlJc w:val="left"/>
      <w:pPr>
        <w:ind w:left="1879" w:hanging="480"/>
      </w:pPr>
    </w:lvl>
    <w:lvl w:ilvl="4">
      <w:start w:val="1"/>
      <w:numFmt w:val="ideographTraditional"/>
      <w:lvlText w:val="%5、"/>
      <w:lvlJc w:val="left"/>
      <w:pPr>
        <w:ind w:left="2359" w:hanging="480"/>
      </w:pPr>
    </w:lvl>
    <w:lvl w:ilvl="5">
      <w:start w:val="1"/>
      <w:numFmt w:val="lowerRoman"/>
      <w:lvlText w:val="%6."/>
      <w:lvlJc w:val="right"/>
      <w:pPr>
        <w:ind w:left="2839" w:hanging="480"/>
      </w:pPr>
    </w:lvl>
    <w:lvl w:ilvl="6">
      <w:start w:val="1"/>
      <w:numFmt w:val="decimal"/>
      <w:lvlText w:val="%7."/>
      <w:lvlJc w:val="left"/>
      <w:pPr>
        <w:ind w:left="3319" w:hanging="480"/>
      </w:pPr>
    </w:lvl>
    <w:lvl w:ilvl="7">
      <w:start w:val="1"/>
      <w:numFmt w:val="ideographTraditional"/>
      <w:lvlText w:val="%8、"/>
      <w:lvlJc w:val="left"/>
      <w:pPr>
        <w:ind w:left="3799" w:hanging="480"/>
      </w:pPr>
    </w:lvl>
    <w:lvl w:ilvl="8">
      <w:start w:val="1"/>
      <w:numFmt w:val="lowerRoman"/>
      <w:lvlText w:val="%9."/>
      <w:lvlJc w:val="right"/>
      <w:pPr>
        <w:ind w:left="4279" w:hanging="480"/>
      </w:pPr>
    </w:lvl>
  </w:abstractNum>
  <w:abstractNum w:abstractNumId="16" w15:restartNumberingAfterBreak="0">
    <w:nsid w:val="37F56203"/>
    <w:multiLevelType w:val="multilevel"/>
    <w:tmpl w:val="D1CC2716"/>
    <w:styleLink w:val="WW8Num1"/>
    <w:lvl w:ilvl="0">
      <w:start w:val="1"/>
      <w:numFmt w:val="japaneseCounting"/>
      <w:lvlText w:val="%1、"/>
      <w:lvlJc w:val="left"/>
      <w:pPr>
        <w:ind w:left="811" w:hanging="720"/>
      </w:pPr>
    </w:lvl>
    <w:lvl w:ilvl="1">
      <w:start w:val="1"/>
      <w:numFmt w:val="japaneseCounting"/>
      <w:lvlText w:val="（%2）"/>
      <w:lvlJc w:val="left"/>
      <w:pPr>
        <w:ind w:left="1701" w:hanging="1021"/>
      </w:pPr>
      <w:rPr>
        <w:rFonts w:ascii="Times New Roman" w:eastAsia="標楷體" w:hAnsi="Times New Roman" w:cs="Times New Roman"/>
        <w:sz w:val="32"/>
        <w:szCs w:val="32"/>
      </w:rPr>
    </w:lvl>
    <w:lvl w:ilvl="2">
      <w:numFmt w:val="bullet"/>
      <w:lvlText w:val=""/>
      <w:lvlJc w:val="left"/>
      <w:pPr>
        <w:ind w:left="1531" w:hanging="480"/>
      </w:pPr>
      <w:rPr>
        <w:rFonts w:ascii="Wingdings" w:hAnsi="Wingdings" w:cs="Wingdings"/>
      </w:rPr>
    </w:lvl>
    <w:lvl w:ilvl="3">
      <w:start w:val="1"/>
      <w:numFmt w:val="decimal"/>
      <w:lvlText w:val="%4."/>
      <w:lvlJc w:val="left"/>
      <w:pPr>
        <w:ind w:left="2011" w:hanging="480"/>
      </w:pPr>
    </w:lvl>
    <w:lvl w:ilvl="4">
      <w:start w:val="1"/>
      <w:numFmt w:val="ideographTraditional"/>
      <w:lvlText w:val="%5、"/>
      <w:lvlJc w:val="left"/>
      <w:pPr>
        <w:ind w:left="2491" w:hanging="480"/>
      </w:pPr>
    </w:lvl>
    <w:lvl w:ilvl="5">
      <w:start w:val="1"/>
      <w:numFmt w:val="lowerRoman"/>
      <w:lvlText w:val="%6."/>
      <w:lvlJc w:val="right"/>
      <w:pPr>
        <w:ind w:left="2971" w:hanging="480"/>
      </w:pPr>
    </w:lvl>
    <w:lvl w:ilvl="6">
      <w:start w:val="1"/>
      <w:numFmt w:val="decimal"/>
      <w:lvlText w:val="%7."/>
      <w:lvlJc w:val="left"/>
      <w:pPr>
        <w:ind w:left="3451" w:hanging="480"/>
      </w:pPr>
    </w:lvl>
    <w:lvl w:ilvl="7">
      <w:start w:val="1"/>
      <w:numFmt w:val="ideographTraditional"/>
      <w:lvlText w:val="%8、"/>
      <w:lvlJc w:val="left"/>
      <w:pPr>
        <w:ind w:left="3931" w:hanging="480"/>
      </w:pPr>
    </w:lvl>
    <w:lvl w:ilvl="8">
      <w:start w:val="1"/>
      <w:numFmt w:val="lowerRoman"/>
      <w:lvlText w:val="%9."/>
      <w:lvlJc w:val="right"/>
      <w:pPr>
        <w:ind w:left="4411" w:hanging="480"/>
      </w:pPr>
    </w:lvl>
  </w:abstractNum>
  <w:abstractNum w:abstractNumId="17" w15:restartNumberingAfterBreak="0">
    <w:nsid w:val="40EC578C"/>
    <w:multiLevelType w:val="multilevel"/>
    <w:tmpl w:val="AB324FDA"/>
    <w:styleLink w:val="WW8Num2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14775B1"/>
    <w:multiLevelType w:val="multilevel"/>
    <w:tmpl w:val="97900C0C"/>
    <w:styleLink w:val="WW8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34D2E3F"/>
    <w:multiLevelType w:val="multilevel"/>
    <w:tmpl w:val="C2582030"/>
    <w:styleLink w:val="WW8Num13"/>
    <w:lvl w:ilvl="0">
      <w:start w:val="1"/>
      <w:numFmt w:val="decimal"/>
      <w:suff w:val="nothing"/>
      <w:lvlText w:val="%1."/>
      <w:lvlJc w:val="left"/>
      <w:pPr>
        <w:ind w:left="255" w:hanging="2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6E32FC4"/>
    <w:multiLevelType w:val="multilevel"/>
    <w:tmpl w:val="67D6108A"/>
    <w:styleLink w:val="WW8Num9"/>
    <w:lvl w:ilvl="0">
      <w:start w:val="9"/>
      <w:numFmt w:val="none"/>
      <w:lvlText w:val="十二、%1"/>
      <w:lvlJc w:val="left"/>
      <w:pPr>
        <w:ind w:left="720" w:hanging="720"/>
      </w:pPr>
      <w:rPr>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8EB302E"/>
    <w:multiLevelType w:val="multilevel"/>
    <w:tmpl w:val="1A4E802C"/>
    <w:styleLink w:val="WW8Num8"/>
    <w:lvl w:ilvl="0">
      <w:start w:val="1"/>
      <w:numFmt w:val="decimal"/>
      <w:suff w:val="nothing"/>
      <w:lvlText w:val="%1."/>
      <w:lvlJc w:val="left"/>
      <w:pPr>
        <w:ind w:left="255" w:hanging="2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AB1313E"/>
    <w:multiLevelType w:val="multilevel"/>
    <w:tmpl w:val="93CCA7AE"/>
    <w:styleLink w:val="WW8Num6"/>
    <w:lvl w:ilvl="0">
      <w:start w:val="2"/>
      <w:numFmt w:val="decimal"/>
      <w:lvlText w:val="%1、"/>
      <w:lvlJc w:val="left"/>
      <w:pPr>
        <w:ind w:left="456" w:hanging="45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BAF3935"/>
    <w:multiLevelType w:val="multilevel"/>
    <w:tmpl w:val="EB664DBE"/>
    <w:styleLink w:val="WW8Num17"/>
    <w:lvl w:ilvl="0">
      <w:start w:val="1"/>
      <w:numFmt w:val="japaneseCounting"/>
      <w:suff w:val="nothing"/>
      <w:lvlText w:val="（%1）"/>
      <w:lvlJc w:val="left"/>
      <w:pPr>
        <w:ind w:left="1145" w:hanging="720"/>
      </w:pPr>
    </w:lvl>
    <w:lvl w:ilvl="1">
      <w:start w:val="1"/>
      <w:numFmt w:val="ideographTraditional"/>
      <w:lvlText w:val="%2、"/>
      <w:lvlJc w:val="left"/>
      <w:pPr>
        <w:ind w:left="1865" w:hanging="480"/>
      </w:pPr>
    </w:lvl>
    <w:lvl w:ilvl="2">
      <w:start w:val="1"/>
      <w:numFmt w:val="lowerRoman"/>
      <w:lvlText w:val="%3."/>
      <w:lvlJc w:val="right"/>
      <w:pPr>
        <w:ind w:left="2345" w:hanging="480"/>
      </w:pPr>
    </w:lvl>
    <w:lvl w:ilvl="3">
      <w:start w:val="1"/>
      <w:numFmt w:val="decimal"/>
      <w:lvlText w:val="%4."/>
      <w:lvlJc w:val="left"/>
      <w:pPr>
        <w:ind w:left="2825" w:hanging="480"/>
      </w:pPr>
    </w:lvl>
    <w:lvl w:ilvl="4">
      <w:start w:val="1"/>
      <w:numFmt w:val="ideographTraditional"/>
      <w:lvlText w:val="%5、"/>
      <w:lvlJc w:val="left"/>
      <w:pPr>
        <w:ind w:left="3305" w:hanging="480"/>
      </w:pPr>
    </w:lvl>
    <w:lvl w:ilvl="5">
      <w:start w:val="1"/>
      <w:numFmt w:val="lowerRoman"/>
      <w:lvlText w:val="%6."/>
      <w:lvlJc w:val="right"/>
      <w:pPr>
        <w:ind w:left="3785" w:hanging="480"/>
      </w:pPr>
    </w:lvl>
    <w:lvl w:ilvl="6">
      <w:start w:val="1"/>
      <w:numFmt w:val="decimal"/>
      <w:lvlText w:val="%7."/>
      <w:lvlJc w:val="left"/>
      <w:pPr>
        <w:ind w:left="4265" w:hanging="480"/>
      </w:pPr>
    </w:lvl>
    <w:lvl w:ilvl="7">
      <w:start w:val="1"/>
      <w:numFmt w:val="ideographTraditional"/>
      <w:lvlText w:val="%8、"/>
      <w:lvlJc w:val="left"/>
      <w:pPr>
        <w:ind w:left="4745" w:hanging="480"/>
      </w:pPr>
    </w:lvl>
    <w:lvl w:ilvl="8">
      <w:start w:val="1"/>
      <w:numFmt w:val="lowerRoman"/>
      <w:lvlText w:val="%9."/>
      <w:lvlJc w:val="right"/>
      <w:pPr>
        <w:ind w:left="5225" w:hanging="480"/>
      </w:pPr>
    </w:lvl>
  </w:abstractNum>
  <w:abstractNum w:abstractNumId="24" w15:restartNumberingAfterBreak="0">
    <w:nsid w:val="4FAE0523"/>
    <w:multiLevelType w:val="multilevel"/>
    <w:tmpl w:val="A14C4FAA"/>
    <w:styleLink w:val="WW8Num19"/>
    <w:lvl w:ilvl="0">
      <w:start w:val="1"/>
      <w:numFmt w:val="japaneseCounting"/>
      <w:suff w:val="nothing"/>
      <w:lvlText w:val="（%1）"/>
      <w:lvlJc w:val="left"/>
      <w:pPr>
        <w:ind w:left="1145"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52CC13CE"/>
    <w:multiLevelType w:val="multilevel"/>
    <w:tmpl w:val="08727A6C"/>
    <w:styleLink w:val="WW8Num40"/>
    <w:lvl w:ilvl="0">
      <w:start w:val="1"/>
      <w:numFmt w:val="japaneseCounting"/>
      <w:suff w:val="nothing"/>
      <w:lvlText w:val="（%1）"/>
      <w:lvlJc w:val="left"/>
      <w:pPr>
        <w:ind w:left="1145"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53ED0382"/>
    <w:multiLevelType w:val="multilevel"/>
    <w:tmpl w:val="9EA0D174"/>
    <w:styleLink w:val="WW8Num22"/>
    <w:lvl w:ilvl="0">
      <w:start w:val="1"/>
      <w:numFmt w:val="decimal"/>
      <w:suff w:val="nothing"/>
      <w:lvlText w:val="%1."/>
      <w:lvlJc w:val="left"/>
      <w:pPr>
        <w:ind w:left="255" w:hanging="2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804DC7"/>
    <w:multiLevelType w:val="multilevel"/>
    <w:tmpl w:val="08B45008"/>
    <w:styleLink w:val="WW8Num5"/>
    <w:lvl w:ilvl="0">
      <w:start w:val="1"/>
      <w:numFmt w:val="japaneseCounting"/>
      <w:lvlText w:val="(%1)"/>
      <w:lvlJc w:val="left"/>
      <w:pPr>
        <w:ind w:left="1159" w:hanging="360"/>
      </w:pPr>
    </w:lvl>
    <w:lvl w:ilvl="1">
      <w:start w:val="1"/>
      <w:numFmt w:val="ideographTraditional"/>
      <w:lvlText w:val="%2、"/>
      <w:lvlJc w:val="left"/>
      <w:pPr>
        <w:ind w:left="1759" w:hanging="480"/>
      </w:pPr>
    </w:lvl>
    <w:lvl w:ilvl="2">
      <w:start w:val="1"/>
      <w:numFmt w:val="lowerRoman"/>
      <w:lvlText w:val="%3."/>
      <w:lvlJc w:val="right"/>
      <w:pPr>
        <w:ind w:left="2239" w:hanging="480"/>
      </w:pPr>
    </w:lvl>
    <w:lvl w:ilvl="3">
      <w:start w:val="1"/>
      <w:numFmt w:val="decimal"/>
      <w:lvlText w:val="%4."/>
      <w:lvlJc w:val="left"/>
      <w:pPr>
        <w:ind w:left="2719" w:hanging="480"/>
      </w:pPr>
    </w:lvl>
    <w:lvl w:ilvl="4">
      <w:start w:val="1"/>
      <w:numFmt w:val="ideographTraditional"/>
      <w:lvlText w:val="%5、"/>
      <w:lvlJc w:val="left"/>
      <w:pPr>
        <w:ind w:left="3199" w:hanging="480"/>
      </w:pPr>
    </w:lvl>
    <w:lvl w:ilvl="5">
      <w:start w:val="1"/>
      <w:numFmt w:val="lowerRoman"/>
      <w:lvlText w:val="%6."/>
      <w:lvlJc w:val="right"/>
      <w:pPr>
        <w:ind w:left="3679" w:hanging="480"/>
      </w:pPr>
    </w:lvl>
    <w:lvl w:ilvl="6">
      <w:start w:val="1"/>
      <w:numFmt w:val="decimal"/>
      <w:lvlText w:val="%7."/>
      <w:lvlJc w:val="left"/>
      <w:pPr>
        <w:ind w:left="4159" w:hanging="480"/>
      </w:pPr>
    </w:lvl>
    <w:lvl w:ilvl="7">
      <w:start w:val="1"/>
      <w:numFmt w:val="ideographTraditional"/>
      <w:lvlText w:val="%8、"/>
      <w:lvlJc w:val="left"/>
      <w:pPr>
        <w:ind w:left="4639" w:hanging="480"/>
      </w:pPr>
    </w:lvl>
    <w:lvl w:ilvl="8">
      <w:start w:val="1"/>
      <w:numFmt w:val="lowerRoman"/>
      <w:lvlText w:val="%9."/>
      <w:lvlJc w:val="right"/>
      <w:pPr>
        <w:ind w:left="5119" w:hanging="480"/>
      </w:pPr>
    </w:lvl>
  </w:abstractNum>
  <w:abstractNum w:abstractNumId="28" w15:restartNumberingAfterBreak="0">
    <w:nsid w:val="574958BC"/>
    <w:multiLevelType w:val="multilevel"/>
    <w:tmpl w:val="E11EB856"/>
    <w:styleLink w:val="WW8Num31"/>
    <w:lvl w:ilvl="0">
      <w:start w:val="1"/>
      <w:numFmt w:val="japaneseCounting"/>
      <w:lvlText w:val="（%1）"/>
      <w:lvlJc w:val="left"/>
      <w:pPr>
        <w:ind w:left="1160" w:hanging="720"/>
      </w:p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29" w15:restartNumberingAfterBreak="0">
    <w:nsid w:val="5BC25AE5"/>
    <w:multiLevelType w:val="multilevel"/>
    <w:tmpl w:val="9A22A348"/>
    <w:styleLink w:val="WW8Num4"/>
    <w:lvl w:ilvl="0">
      <w:start w:val="1"/>
      <w:numFmt w:val="decimal"/>
      <w:suff w:val="nothing"/>
      <w:lvlText w:val="%1."/>
      <w:lvlJc w:val="left"/>
      <w:pPr>
        <w:ind w:left="255" w:hanging="2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C5F00A2"/>
    <w:multiLevelType w:val="multilevel"/>
    <w:tmpl w:val="C4B61A36"/>
    <w:styleLink w:val="WW8Num26"/>
    <w:lvl w:ilvl="0">
      <w:start w:val="1"/>
      <w:numFmt w:val="japaneseCounting"/>
      <w:suff w:val="nothing"/>
      <w:lvlText w:val="%1、"/>
      <w:lvlJc w:val="left"/>
      <w:pPr>
        <w:ind w:left="482"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CBC6495"/>
    <w:multiLevelType w:val="multilevel"/>
    <w:tmpl w:val="E74AC6DA"/>
    <w:styleLink w:val="WW8Num20"/>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1436595"/>
    <w:multiLevelType w:val="multilevel"/>
    <w:tmpl w:val="B64C112C"/>
    <w:styleLink w:val="WW8Num10"/>
    <w:lvl w:ilvl="0">
      <w:start w:val="1"/>
      <w:numFmt w:val="japaneseCounting"/>
      <w:suff w:val="nothing"/>
      <w:lvlText w:val="（%1）"/>
      <w:lvlJc w:val="left"/>
      <w:pPr>
        <w:ind w:left="1145"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 w15:restartNumberingAfterBreak="0">
    <w:nsid w:val="72DD4BFB"/>
    <w:multiLevelType w:val="multilevel"/>
    <w:tmpl w:val="261C8CF8"/>
    <w:styleLink w:val="WW8Num39"/>
    <w:lvl w:ilvl="0">
      <w:start w:val="1"/>
      <w:numFmt w:val="japaneseCounting"/>
      <w:lvlText w:val="(%1)"/>
      <w:lvlJc w:val="left"/>
      <w:pPr>
        <w:ind w:left="927" w:hanging="360"/>
      </w:pPr>
    </w:lvl>
    <w:lvl w:ilvl="1">
      <w:start w:val="1"/>
      <w:numFmt w:val="ideographTradition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34" w15:restartNumberingAfterBreak="0">
    <w:nsid w:val="78232B10"/>
    <w:multiLevelType w:val="multilevel"/>
    <w:tmpl w:val="A578567C"/>
    <w:styleLink w:val="WW8Num2"/>
    <w:lvl w:ilvl="0">
      <w:start w:val="1"/>
      <w:numFmt w:val="japaneseCounting"/>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15:restartNumberingAfterBreak="0">
    <w:nsid w:val="78540BDC"/>
    <w:multiLevelType w:val="multilevel"/>
    <w:tmpl w:val="36C828A2"/>
    <w:styleLink w:val="WW8Num2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8982D39"/>
    <w:multiLevelType w:val="multilevel"/>
    <w:tmpl w:val="4F002452"/>
    <w:styleLink w:val="WW8Num18"/>
    <w:lvl w:ilvl="0">
      <w:start w:val="7"/>
      <w:numFmt w:val="japaneseCounting"/>
      <w:lvlText w:val="%1、"/>
      <w:lvlJc w:val="left"/>
      <w:pPr>
        <w:ind w:left="452" w:hanging="480"/>
      </w:pPr>
    </w:lvl>
    <w:lvl w:ilvl="1">
      <w:start w:val="1"/>
      <w:numFmt w:val="ideographTradition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ideographTradition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ideographTraditional"/>
      <w:lvlText w:val="%8、"/>
      <w:lvlJc w:val="left"/>
      <w:pPr>
        <w:ind w:left="3812" w:hanging="480"/>
      </w:pPr>
    </w:lvl>
    <w:lvl w:ilvl="8">
      <w:start w:val="1"/>
      <w:numFmt w:val="lowerRoman"/>
      <w:lvlText w:val="%9."/>
      <w:lvlJc w:val="right"/>
      <w:pPr>
        <w:ind w:left="4292" w:hanging="480"/>
      </w:pPr>
    </w:lvl>
  </w:abstractNum>
  <w:abstractNum w:abstractNumId="37" w15:restartNumberingAfterBreak="0">
    <w:nsid w:val="79981A2A"/>
    <w:multiLevelType w:val="multilevel"/>
    <w:tmpl w:val="0A768A9E"/>
    <w:styleLink w:val="WW8Num23"/>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A8F18DA"/>
    <w:multiLevelType w:val="multilevel"/>
    <w:tmpl w:val="150CF222"/>
    <w:styleLink w:val="WW8Num30"/>
    <w:lvl w:ilvl="0">
      <w:start w:val="1"/>
      <w:numFmt w:val="japaneseCounting"/>
      <w:suff w:val="nothing"/>
      <w:lvlText w:val="（%1）"/>
      <w:lvlJc w:val="left"/>
      <w:pPr>
        <w:ind w:left="1031" w:hanging="720"/>
      </w:pPr>
    </w:lvl>
    <w:lvl w:ilvl="1">
      <w:start w:val="1"/>
      <w:numFmt w:val="ideographTraditional"/>
      <w:lvlText w:val="%2、"/>
      <w:lvlJc w:val="left"/>
      <w:pPr>
        <w:ind w:left="1751" w:hanging="480"/>
      </w:pPr>
    </w:lvl>
    <w:lvl w:ilvl="2">
      <w:start w:val="1"/>
      <w:numFmt w:val="lowerRoman"/>
      <w:lvlText w:val="%3."/>
      <w:lvlJc w:val="right"/>
      <w:pPr>
        <w:ind w:left="2231" w:hanging="480"/>
      </w:pPr>
    </w:lvl>
    <w:lvl w:ilvl="3">
      <w:start w:val="1"/>
      <w:numFmt w:val="decimal"/>
      <w:lvlText w:val="%4."/>
      <w:lvlJc w:val="left"/>
      <w:pPr>
        <w:ind w:left="2711" w:hanging="480"/>
      </w:pPr>
    </w:lvl>
    <w:lvl w:ilvl="4">
      <w:start w:val="1"/>
      <w:numFmt w:val="ideographTraditional"/>
      <w:lvlText w:val="%5、"/>
      <w:lvlJc w:val="left"/>
      <w:pPr>
        <w:ind w:left="3191" w:hanging="480"/>
      </w:pPr>
    </w:lvl>
    <w:lvl w:ilvl="5">
      <w:start w:val="1"/>
      <w:numFmt w:val="lowerRoman"/>
      <w:lvlText w:val="%6."/>
      <w:lvlJc w:val="right"/>
      <w:pPr>
        <w:ind w:left="3671" w:hanging="480"/>
      </w:pPr>
    </w:lvl>
    <w:lvl w:ilvl="6">
      <w:start w:val="1"/>
      <w:numFmt w:val="decimal"/>
      <w:lvlText w:val="%7."/>
      <w:lvlJc w:val="left"/>
      <w:pPr>
        <w:ind w:left="4151" w:hanging="480"/>
      </w:pPr>
    </w:lvl>
    <w:lvl w:ilvl="7">
      <w:start w:val="1"/>
      <w:numFmt w:val="ideographTraditional"/>
      <w:lvlText w:val="%8、"/>
      <w:lvlJc w:val="left"/>
      <w:pPr>
        <w:ind w:left="4631" w:hanging="480"/>
      </w:pPr>
    </w:lvl>
    <w:lvl w:ilvl="8">
      <w:start w:val="1"/>
      <w:numFmt w:val="lowerRoman"/>
      <w:lvlText w:val="%9."/>
      <w:lvlJc w:val="right"/>
      <w:pPr>
        <w:ind w:left="5111" w:hanging="480"/>
      </w:pPr>
    </w:lvl>
  </w:abstractNum>
  <w:abstractNum w:abstractNumId="39" w15:restartNumberingAfterBreak="0">
    <w:nsid w:val="7E1C5536"/>
    <w:multiLevelType w:val="multilevel"/>
    <w:tmpl w:val="7A3E034E"/>
    <w:styleLink w:val="WW8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34"/>
  </w:num>
  <w:num w:numId="3">
    <w:abstractNumId w:val="8"/>
  </w:num>
  <w:num w:numId="4">
    <w:abstractNumId w:val="29"/>
  </w:num>
  <w:num w:numId="5">
    <w:abstractNumId w:val="27"/>
  </w:num>
  <w:num w:numId="6">
    <w:abstractNumId w:val="22"/>
  </w:num>
  <w:num w:numId="7">
    <w:abstractNumId w:val="15"/>
  </w:num>
  <w:num w:numId="8">
    <w:abstractNumId w:val="21"/>
  </w:num>
  <w:num w:numId="9">
    <w:abstractNumId w:val="20"/>
  </w:num>
  <w:num w:numId="10">
    <w:abstractNumId w:val="32"/>
  </w:num>
  <w:num w:numId="11">
    <w:abstractNumId w:val="5"/>
  </w:num>
  <w:num w:numId="12">
    <w:abstractNumId w:val="18"/>
  </w:num>
  <w:num w:numId="13">
    <w:abstractNumId w:val="19"/>
  </w:num>
  <w:num w:numId="14">
    <w:abstractNumId w:val="6"/>
  </w:num>
  <w:num w:numId="15">
    <w:abstractNumId w:val="39"/>
  </w:num>
  <w:num w:numId="16">
    <w:abstractNumId w:val="2"/>
  </w:num>
  <w:num w:numId="17">
    <w:abstractNumId w:val="23"/>
  </w:num>
  <w:num w:numId="18">
    <w:abstractNumId w:val="36"/>
  </w:num>
  <w:num w:numId="19">
    <w:abstractNumId w:val="24"/>
  </w:num>
  <w:num w:numId="20">
    <w:abstractNumId w:val="31"/>
  </w:num>
  <w:num w:numId="21">
    <w:abstractNumId w:val="4"/>
  </w:num>
  <w:num w:numId="22">
    <w:abstractNumId w:val="26"/>
  </w:num>
  <w:num w:numId="23">
    <w:abstractNumId w:val="37"/>
  </w:num>
  <w:num w:numId="24">
    <w:abstractNumId w:val="7"/>
  </w:num>
  <w:num w:numId="25">
    <w:abstractNumId w:val="9"/>
  </w:num>
  <w:num w:numId="26">
    <w:abstractNumId w:val="30"/>
  </w:num>
  <w:num w:numId="27">
    <w:abstractNumId w:val="35"/>
  </w:num>
  <w:num w:numId="28">
    <w:abstractNumId w:val="3"/>
  </w:num>
  <w:num w:numId="29">
    <w:abstractNumId w:val="17"/>
  </w:num>
  <w:num w:numId="30">
    <w:abstractNumId w:val="38"/>
  </w:num>
  <w:num w:numId="31">
    <w:abstractNumId w:val="28"/>
  </w:num>
  <w:num w:numId="32">
    <w:abstractNumId w:val="10"/>
  </w:num>
  <w:num w:numId="33">
    <w:abstractNumId w:val="1"/>
  </w:num>
  <w:num w:numId="34">
    <w:abstractNumId w:val="14"/>
  </w:num>
  <w:num w:numId="35">
    <w:abstractNumId w:val="11"/>
  </w:num>
  <w:num w:numId="36">
    <w:abstractNumId w:val="12"/>
  </w:num>
  <w:num w:numId="37">
    <w:abstractNumId w:val="0"/>
  </w:num>
  <w:num w:numId="38">
    <w:abstractNumId w:val="13"/>
  </w:num>
  <w:num w:numId="39">
    <w:abstractNumId w:val="33"/>
  </w:num>
  <w:num w:numId="40">
    <w:abstractNumId w:val="25"/>
  </w:num>
  <w:num w:numId="41">
    <w:abstractNumId w:val="11"/>
    <w:lvlOverride w:ilvl="0">
      <w:startOverride w:val="1"/>
    </w:lvlOverride>
  </w:num>
  <w:num w:numId="42">
    <w:abstractNumId w:val="38"/>
    <w:lvlOverride w:ilvl="0">
      <w:startOverride w:val="1"/>
    </w:lvlOverride>
  </w:num>
  <w:num w:numId="43">
    <w:abstractNumId w:val="23"/>
    <w:lvlOverride w:ilvl="0">
      <w:startOverride w:val="1"/>
    </w:lvlOverride>
  </w:num>
  <w:num w:numId="44">
    <w:abstractNumId w:val="24"/>
    <w:lvlOverride w:ilvl="0">
      <w:startOverride w:val="1"/>
    </w:lvlOverride>
  </w:num>
  <w:num w:numId="45">
    <w:abstractNumId w:val="32"/>
    <w:lvlOverride w:ilvl="0">
      <w:startOverride w:val="1"/>
    </w:lvlOverride>
  </w:num>
  <w:num w:numId="46">
    <w:abstractNumId w:val="14"/>
    <w:lvlOverride w:ilvl="0">
      <w:startOverride w:val="1"/>
    </w:lvlOverride>
  </w:num>
  <w:num w:numId="47">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5A"/>
    <w:rsid w:val="00072165"/>
    <w:rsid w:val="001A08AE"/>
    <w:rsid w:val="001E6A5B"/>
    <w:rsid w:val="002777EF"/>
    <w:rsid w:val="00282B66"/>
    <w:rsid w:val="002E269B"/>
    <w:rsid w:val="0031755A"/>
    <w:rsid w:val="003C3A82"/>
    <w:rsid w:val="00605CDC"/>
    <w:rsid w:val="00634CA0"/>
    <w:rsid w:val="006F41BA"/>
    <w:rsid w:val="00723D49"/>
    <w:rsid w:val="0078751D"/>
    <w:rsid w:val="007C3ED4"/>
    <w:rsid w:val="00806217"/>
    <w:rsid w:val="00872A6C"/>
    <w:rsid w:val="009668F5"/>
    <w:rsid w:val="009F5583"/>
    <w:rsid w:val="00A7798C"/>
    <w:rsid w:val="00B53E5A"/>
    <w:rsid w:val="00BE3B02"/>
    <w:rsid w:val="00C67F9B"/>
    <w:rsid w:val="00DE1F80"/>
    <w:rsid w:val="00E10A6A"/>
    <w:rsid w:val="00E55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1355"/>
  <w15:docId w15:val="{22AEB06D-8A0A-4C3A-AD5E-8EFBB8F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Standard"/>
    <w:next w:val="Standard"/>
    <w:uiPriority w:val="9"/>
    <w:semiHidden/>
    <w:unhideWhenUsed/>
    <w:qFormat/>
    <w:pPr>
      <w:keepNext/>
      <w:spacing w:line="480" w:lineRule="auto"/>
      <w:outlineLvl w:val="2"/>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1">
    <w:name w:val="1"/>
    <w:basedOn w:val="Textbody"/>
    <w:pPr>
      <w:widowControl/>
      <w:snapToGrid w:val="0"/>
      <w:spacing w:after="0" w:line="360" w:lineRule="auto"/>
      <w:ind w:firstLine="510"/>
      <w:jc w:val="both"/>
      <w:textAlignment w:val="center"/>
    </w:pPr>
    <w:rPr>
      <w:rFonts w:cs="Tahoma"/>
      <w:color w:val="000000"/>
      <w:kern w:val="0"/>
      <w:sz w:val="22"/>
      <w:szCs w:val="19"/>
    </w:rPr>
  </w:style>
  <w:style w:type="paragraph" w:styleId="a5">
    <w:name w:val="Balloon Text"/>
    <w:basedOn w:val="Standard"/>
    <w:rPr>
      <w:rFonts w:ascii="Arial" w:eastAsia="Arial" w:hAnsi="Arial" w:cs="Arial"/>
      <w:sz w:val="18"/>
      <w:szCs w:val="18"/>
    </w:rPr>
  </w:style>
  <w:style w:type="paragraph" w:styleId="a6">
    <w:name w:val="annotation text"/>
    <w:basedOn w:val="Standard"/>
  </w:style>
  <w:style w:type="paragraph" w:styleId="a7">
    <w:name w:val="annotation subject"/>
    <w:basedOn w:val="a6"/>
    <w:next w:val="a6"/>
    <w:rPr>
      <w:b/>
      <w:bCs/>
    </w:rPr>
  </w:style>
  <w:style w:type="paragraph" w:styleId="2">
    <w:name w:val="Body Text 2"/>
    <w:basedOn w:val="Standard"/>
    <w:pPr>
      <w:snapToGrid w:val="0"/>
      <w:jc w:val="both"/>
    </w:pPr>
    <w:rPr>
      <w:rFonts w:eastAsia="標楷體"/>
      <w:color w:val="000000"/>
      <w:sz w:val="28"/>
    </w:rPr>
  </w:style>
  <w:style w:type="paragraph" w:styleId="30">
    <w:name w:val="Body Text 3"/>
    <w:basedOn w:val="Standard"/>
    <w:pPr>
      <w:snapToGrid w:val="0"/>
      <w:jc w:val="both"/>
    </w:pPr>
    <w:rPr>
      <w:rFonts w:eastAsia="標楷體"/>
      <w:color w:val="000000"/>
    </w:rPr>
  </w:style>
  <w:style w:type="paragraph" w:styleId="a8">
    <w:name w:val="footer"/>
    <w:basedOn w:val="Standard"/>
    <w:pPr>
      <w:tabs>
        <w:tab w:val="center" w:pos="4153"/>
        <w:tab w:val="right" w:pos="8306"/>
      </w:tabs>
      <w:snapToGrid w:val="0"/>
    </w:pPr>
    <w:rPr>
      <w:sz w:val="20"/>
      <w:szCs w:val="20"/>
    </w:rPr>
  </w:style>
  <w:style w:type="paragraph" w:customStyle="1" w:styleId="a9">
    <w:name w:val="公文(後續段落)"/>
    <w:basedOn w:val="Standard"/>
    <w:pPr>
      <w:spacing w:line="500" w:lineRule="exact"/>
      <w:ind w:left="317"/>
    </w:pPr>
    <w:rPr>
      <w:rFonts w:eastAsia="標楷體"/>
      <w:sz w:val="32"/>
    </w:rPr>
  </w:style>
  <w:style w:type="paragraph" w:customStyle="1" w:styleId="aa">
    <w:name w:val="公文(全銜)"/>
    <w:basedOn w:val="Standard"/>
    <w:pPr>
      <w:snapToGrid w:val="0"/>
      <w:spacing w:line="720" w:lineRule="exact"/>
      <w:jc w:val="center"/>
    </w:pPr>
    <w:rPr>
      <w:rFonts w:ascii="標楷體" w:eastAsia="標楷體" w:hAnsi="標楷體" w:cs="標楷體"/>
      <w:sz w:val="40"/>
    </w:rPr>
  </w:style>
  <w:style w:type="paragraph" w:customStyle="1" w:styleId="ab">
    <w:name w:val="公文(聯絡方式)"/>
    <w:basedOn w:val="Standard"/>
    <w:pPr>
      <w:snapToGrid w:val="0"/>
      <w:ind w:left="4536"/>
    </w:pPr>
    <w:rPr>
      <w:rFonts w:ascii="標楷體" w:eastAsia="標楷體" w:hAnsi="標楷體" w:cs="標楷體"/>
    </w:rPr>
  </w:style>
  <w:style w:type="paragraph" w:customStyle="1" w:styleId="ac">
    <w:name w:val="公文(受文者)"/>
    <w:basedOn w:val="Standard"/>
    <w:pPr>
      <w:snapToGrid w:val="0"/>
      <w:spacing w:after="200"/>
    </w:pPr>
    <w:rPr>
      <w:rFonts w:ascii="標楷體" w:eastAsia="標楷體" w:hAnsi="標楷體" w:cs="標楷體"/>
      <w:sz w:val="32"/>
    </w:rPr>
  </w:style>
  <w:style w:type="paragraph" w:customStyle="1" w:styleId="ad">
    <w:name w:val="公文(速別)"/>
    <w:basedOn w:val="Standard"/>
    <w:pPr>
      <w:snapToGrid w:val="0"/>
      <w:spacing w:line="280" w:lineRule="exact"/>
    </w:pPr>
    <w:rPr>
      <w:rFonts w:ascii="標楷體" w:eastAsia="標楷體" w:hAnsi="標楷體" w:cs="標楷體"/>
    </w:rPr>
  </w:style>
  <w:style w:type="paragraph" w:customStyle="1" w:styleId="ae">
    <w:name w:val="公文(發文日期)"/>
    <w:basedOn w:val="Standard"/>
    <w:pPr>
      <w:snapToGrid w:val="0"/>
      <w:spacing w:line="280" w:lineRule="exact"/>
    </w:pPr>
    <w:rPr>
      <w:rFonts w:ascii="標楷體" w:eastAsia="標楷體" w:hAnsi="標楷體" w:cs="標楷體"/>
    </w:rPr>
  </w:style>
  <w:style w:type="paragraph" w:customStyle="1" w:styleId="af">
    <w:name w:val="公文(發文字號)"/>
    <w:basedOn w:val="Standard"/>
    <w:pPr>
      <w:snapToGrid w:val="0"/>
      <w:spacing w:line="280" w:lineRule="exact"/>
    </w:pPr>
    <w:rPr>
      <w:rFonts w:ascii="標楷體" w:eastAsia="標楷體" w:hAnsi="標楷體" w:cs="標楷體"/>
    </w:rPr>
  </w:style>
  <w:style w:type="paragraph" w:customStyle="1" w:styleId="af0">
    <w:name w:val="公文(密等)"/>
    <w:basedOn w:val="Standard"/>
    <w:pPr>
      <w:snapToGrid w:val="0"/>
      <w:spacing w:line="280" w:lineRule="exact"/>
    </w:pPr>
    <w:rPr>
      <w:rFonts w:ascii="標楷體" w:eastAsia="標楷體" w:hAnsi="標楷體" w:cs="標楷體"/>
    </w:rPr>
  </w:style>
  <w:style w:type="paragraph" w:customStyle="1" w:styleId="af1">
    <w:name w:val="公文(主旨)"/>
    <w:basedOn w:val="Standard"/>
    <w:pPr>
      <w:wordWrap w:val="0"/>
      <w:snapToGrid w:val="0"/>
      <w:spacing w:line="500" w:lineRule="exact"/>
      <w:ind w:left="958" w:hanging="958"/>
    </w:pPr>
    <w:rPr>
      <w:rFonts w:ascii="標楷體" w:eastAsia="標楷體" w:hAnsi="標楷體" w:cs="標楷體"/>
      <w:sz w:val="32"/>
    </w:rPr>
  </w:style>
  <w:style w:type="paragraph" w:customStyle="1" w:styleId="af2">
    <w:name w:val="公文(段落)"/>
    <w:basedOn w:val="Standard"/>
    <w:next w:val="a9"/>
    <w:pPr>
      <w:wordWrap w:val="0"/>
      <w:snapToGrid w:val="0"/>
      <w:spacing w:after="200" w:line="500" w:lineRule="exact"/>
      <w:ind w:left="958" w:hanging="958"/>
    </w:pPr>
    <w:rPr>
      <w:rFonts w:ascii="標楷體" w:eastAsia="標楷體" w:hAnsi="標楷體" w:cs="標楷體"/>
      <w:sz w:val="32"/>
    </w:rPr>
  </w:style>
  <w:style w:type="paragraph" w:customStyle="1" w:styleId="af3">
    <w:name w:val="公文(正本)"/>
    <w:basedOn w:val="Standard"/>
    <w:pPr>
      <w:wordWrap w:val="0"/>
      <w:overflowPunct w:val="0"/>
      <w:snapToGrid w:val="0"/>
      <w:spacing w:before="120"/>
      <w:ind w:left="720" w:hanging="720"/>
    </w:pPr>
    <w:rPr>
      <w:rFonts w:ascii="標楷體" w:eastAsia="標楷體" w:hAnsi="標楷體" w:cs="標楷體"/>
    </w:rPr>
  </w:style>
  <w:style w:type="paragraph" w:customStyle="1" w:styleId="af4">
    <w:name w:val="公文(副本)"/>
    <w:basedOn w:val="Standard"/>
    <w:pPr>
      <w:wordWrap w:val="0"/>
      <w:snapToGrid w:val="0"/>
      <w:spacing w:line="300" w:lineRule="exact"/>
      <w:ind w:left="720" w:hanging="720"/>
    </w:pPr>
    <w:rPr>
      <w:rFonts w:ascii="標楷體" w:eastAsia="標楷體" w:hAnsi="標楷體" w:cs="標楷體"/>
    </w:rPr>
  </w:style>
  <w:style w:type="paragraph" w:customStyle="1" w:styleId="af5">
    <w:name w:val="公文(署名)"/>
    <w:basedOn w:val="Standard"/>
    <w:pPr>
      <w:spacing w:before="180" w:line="600" w:lineRule="exact"/>
    </w:pPr>
    <w:rPr>
      <w:rFonts w:ascii="標楷體" w:eastAsia="標楷體" w:hAnsi="標楷體" w:cs="標楷體"/>
      <w:sz w:val="40"/>
    </w:rPr>
  </w:style>
  <w:style w:type="paragraph" w:customStyle="1" w:styleId="af6">
    <w:name w:val="公文(機關地址)"/>
    <w:basedOn w:val="Standard"/>
    <w:pPr>
      <w:snapToGrid w:val="0"/>
      <w:ind w:left="4536"/>
    </w:pPr>
    <w:rPr>
      <w:rFonts w:ascii="標楷體" w:eastAsia="標楷體" w:hAnsi="標楷體" w:cs="標楷體"/>
    </w:rPr>
  </w:style>
  <w:style w:type="paragraph" w:customStyle="1" w:styleId="af7">
    <w:name w:val="公文(附件)"/>
    <w:basedOn w:val="Standard"/>
    <w:pPr>
      <w:snapToGrid w:val="0"/>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af8">
    <w:name w:val="字元 字元 字元 字元 字元 字元 字元 字元"/>
    <w:basedOn w:val="Textbody"/>
    <w:pPr>
      <w:widowControl/>
      <w:snapToGrid w:val="0"/>
      <w:spacing w:after="0" w:line="360" w:lineRule="auto"/>
      <w:ind w:firstLine="510"/>
      <w:jc w:val="both"/>
      <w:textAlignment w:val="center"/>
    </w:pPr>
    <w:rPr>
      <w:rFonts w:cs="Tahoma"/>
      <w:color w:val="000000"/>
      <w:kern w:val="0"/>
      <w:sz w:val="22"/>
      <w:szCs w:val="19"/>
    </w:rPr>
  </w:style>
  <w:style w:type="paragraph" w:customStyle="1" w:styleId="af9">
    <w:name w:val="字元 字元 字元"/>
    <w:basedOn w:val="Textbody"/>
    <w:pPr>
      <w:widowControl/>
      <w:snapToGrid w:val="0"/>
      <w:spacing w:after="0" w:line="360" w:lineRule="auto"/>
      <w:ind w:firstLine="510"/>
      <w:jc w:val="both"/>
      <w:textAlignment w:val="center"/>
    </w:pPr>
    <w:rPr>
      <w:rFonts w:cs="Tahoma"/>
      <w:color w:val="000000"/>
      <w:kern w:val="0"/>
      <w:sz w:val="22"/>
      <w:szCs w:val="19"/>
    </w:rPr>
  </w:style>
  <w:style w:type="paragraph" w:styleId="20">
    <w:name w:val="Body Text Indent 2"/>
    <w:basedOn w:val="Standard"/>
    <w:pPr>
      <w:spacing w:after="120" w:line="480" w:lineRule="auto"/>
      <w:ind w:left="480"/>
    </w:pPr>
  </w:style>
  <w:style w:type="paragraph" w:customStyle="1" w:styleId="afa">
    <w:name w:val="公文(後續內容)"/>
    <w:basedOn w:val="Standard"/>
    <w:pPr>
      <w:widowControl/>
      <w:snapToGrid w:val="0"/>
      <w:spacing w:line="578" w:lineRule="exact"/>
    </w:pPr>
    <w:rPr>
      <w:rFonts w:ascii="標楷體" w:eastAsia="標楷體" w:hAnsi="標楷體" w:cs="標楷體"/>
      <w:kern w:val="0"/>
      <w:sz w:val="34"/>
      <w:szCs w:val="20"/>
    </w:rPr>
  </w:style>
  <w:style w:type="paragraph" w:styleId="afb">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lang w:bidi="hi-IN"/>
    </w:rPr>
  </w:style>
  <w:style w:type="paragraph" w:styleId="afc">
    <w:name w:val="List Paragraph"/>
    <w:basedOn w:val="Standard"/>
    <w:pPr>
      <w:ind w:left="480"/>
    </w:pPr>
    <w:rPr>
      <w:rFonts w:ascii="Calibri" w:hAnsi="Calibri"/>
      <w:szCs w:val="22"/>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rPr>
      <w:rFonts w:ascii="Times New Roman" w:eastAsia="標楷體" w:hAnsi="Times New Roman" w:cs="Times New Roman"/>
      <w:sz w:val="32"/>
      <w:szCs w:val="32"/>
    </w:rPr>
  </w:style>
  <w:style w:type="character" w:customStyle="1" w:styleId="WW8Num1z2">
    <w:name w:val="WW8Num1z2"/>
    <w:rPr>
      <w:rFonts w:ascii="Wingdings" w:eastAsia="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u w:val="singl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細明體, MingLiU"/>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2">
    <w:name w:val="WW8Num25z2"/>
    <w:rPr>
      <w:rFonts w:ascii="Times New Roman" w:eastAsia="標楷體" w:hAnsi="Times New Roman" w:cs="Times New Roman"/>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bCs/>
      <w:sz w:val="3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styleId="afd">
    <w:name w:val="annotation reference"/>
    <w:rPr>
      <w:sz w:val="18"/>
      <w:szCs w:val="18"/>
    </w:rPr>
  </w:style>
  <w:style w:type="character" w:styleId="afe">
    <w:name w:val="page number"/>
    <w:basedOn w:val="a0"/>
  </w:style>
  <w:style w:type="character" w:customStyle="1" w:styleId="myspan">
    <w:name w:val="myspan"/>
    <w:basedOn w:val="a0"/>
  </w:style>
  <w:style w:type="character" w:customStyle="1" w:styleId="Internetlink">
    <w:name w:val="Internet link"/>
    <w:rPr>
      <w:strike w:val="0"/>
      <w:dstrike w:val="0"/>
      <w:color w:val="0033CC"/>
      <w:u w:val="none"/>
    </w:rPr>
  </w:style>
  <w:style w:type="character" w:customStyle="1" w:styleId="HTML0">
    <w:name w:val="HTML 預設格式 字元"/>
    <w:rPr>
      <w:rFonts w:ascii="細明體, MingLiU" w:eastAsia="細明體, MingLiU" w:hAnsi="細明體, MingLiU" w:cs="細明體, MingLiU"/>
      <w:sz w:val="24"/>
      <w:szCs w:val="24"/>
      <w:lang w:bidi="hi-I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7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cp:lastModifiedBy>劉騏銘</cp:lastModifiedBy>
  <cp:revision>13</cp:revision>
  <cp:lastPrinted>2015-12-22T11:21:00Z</cp:lastPrinted>
  <dcterms:created xsi:type="dcterms:W3CDTF">2025-07-21T06:19:00Z</dcterms:created>
  <dcterms:modified xsi:type="dcterms:W3CDTF">2025-07-21T06:40:00Z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附件">
    <vt:lpwstr>TRUE</vt:lpwstr>
  </property>
  <property fmtid="{D5CDD505-2E9C-101B-9397-08002B2CF9AE}" pid="3" name="儲存中">
    <vt:lpwstr>FALSE</vt:lpwstr>
  </property>
</Properties>
</file>