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B00A4" w14:textId="016F56F5" w:rsidR="007506C1" w:rsidRDefault="0084477A" w:rsidP="007506C1">
      <w:pPr>
        <w:jc w:val="center"/>
        <w:rPr>
          <w:rFonts w:ascii="標楷體" w:eastAsia="標楷體" w:hAnsi="標楷體"/>
          <w:bCs/>
          <w:color w:val="000000"/>
          <w:sz w:val="40"/>
          <w:szCs w:val="40"/>
          <w:lang w:eastAsia="zh-HK"/>
        </w:rPr>
      </w:pPr>
      <w:r w:rsidRPr="0084477A">
        <w:rPr>
          <w:rFonts w:ascii="標楷體" w:eastAsia="標楷體" w:hAnsi="標楷體" w:hint="eastAsia"/>
          <w:bCs/>
          <w:color w:val="000000"/>
          <w:sz w:val="40"/>
          <w:szCs w:val="40"/>
          <w:lang w:eastAsia="zh-HK"/>
        </w:rPr>
        <w:t>交通部觀光署推動來臺空海聯營旅遊獎助要點</w:t>
      </w:r>
    </w:p>
    <w:p w14:paraId="45A4A50C" w14:textId="77777777" w:rsidR="007506C1" w:rsidRPr="007506C1" w:rsidRDefault="007506C1" w:rsidP="007506C1">
      <w:pPr>
        <w:jc w:val="center"/>
        <w:rPr>
          <w:rFonts w:ascii="標楷體" w:eastAsia="標楷體" w:hAnsi="標楷體" w:cstheme="minorBidi"/>
          <w:kern w:val="2"/>
          <w:sz w:val="40"/>
          <w:szCs w:val="40"/>
        </w:rPr>
      </w:pPr>
    </w:p>
    <w:p w14:paraId="44844AF4" w14:textId="4B879ACD" w:rsidR="007506C1" w:rsidRPr="001704EA" w:rsidRDefault="007506C1" w:rsidP="001704EA">
      <w:pPr>
        <w:autoSpaceDN/>
        <w:ind w:leftChars="600" w:left="1200"/>
        <w:textAlignment w:val="auto"/>
        <w:rPr>
          <w:rFonts w:ascii="標楷體" w:eastAsia="標楷體" w:hAnsi="標楷體" w:cstheme="minorBidi"/>
          <w:kern w:val="2"/>
        </w:rPr>
      </w:pPr>
      <w:r w:rsidRPr="001704EA">
        <w:rPr>
          <w:rFonts w:ascii="標楷體" w:eastAsia="標楷體" w:hAnsi="標楷體" w:cstheme="minorBidi" w:hint="eastAsia"/>
          <w:kern w:val="2"/>
        </w:rPr>
        <w:t>中華民國 106年12月28日觀國字第 1061011517 號令訂定</w:t>
      </w:r>
    </w:p>
    <w:p w14:paraId="223C460A" w14:textId="417AE5F8" w:rsidR="007506C1" w:rsidRPr="001704EA" w:rsidRDefault="007506C1" w:rsidP="001704EA">
      <w:pPr>
        <w:autoSpaceDN/>
        <w:ind w:leftChars="600" w:left="1200"/>
        <w:textAlignment w:val="auto"/>
        <w:rPr>
          <w:rFonts w:ascii="標楷體" w:eastAsia="標楷體" w:hAnsi="標楷體" w:cstheme="minorBidi"/>
          <w:kern w:val="2"/>
        </w:rPr>
      </w:pPr>
      <w:bookmarkStart w:id="0" w:name="_Hlk165537630"/>
      <w:r w:rsidRPr="001704EA">
        <w:rPr>
          <w:rFonts w:ascii="標楷體" w:eastAsia="標楷體" w:hAnsi="標楷體" w:cstheme="minorBidi" w:hint="eastAsia"/>
          <w:kern w:val="2"/>
        </w:rPr>
        <w:t>中華民國108年</w:t>
      </w:r>
      <w:r w:rsidR="006A65F9" w:rsidRPr="001704EA">
        <w:rPr>
          <w:rFonts w:ascii="標楷體" w:eastAsia="標楷體" w:hAnsi="標楷體" w:cstheme="minorBidi" w:hint="eastAsia"/>
          <w:kern w:val="2"/>
        </w:rPr>
        <w:t xml:space="preserve"> </w:t>
      </w:r>
      <w:r w:rsidRPr="001704EA">
        <w:rPr>
          <w:rFonts w:ascii="標楷體" w:eastAsia="標楷體" w:hAnsi="標楷體" w:cstheme="minorBidi" w:hint="eastAsia"/>
          <w:kern w:val="2"/>
        </w:rPr>
        <w:t>1 月</w:t>
      </w:r>
      <w:r w:rsidR="006A65F9" w:rsidRPr="001704EA">
        <w:rPr>
          <w:rFonts w:ascii="標楷體" w:eastAsia="標楷體" w:hAnsi="標楷體" w:cstheme="minorBidi" w:hint="eastAsia"/>
          <w:kern w:val="2"/>
        </w:rPr>
        <w:t xml:space="preserve"> </w:t>
      </w:r>
      <w:r w:rsidRPr="001704EA">
        <w:rPr>
          <w:rFonts w:ascii="標楷體" w:eastAsia="標楷體" w:hAnsi="標楷體" w:cstheme="minorBidi" w:hint="eastAsia"/>
          <w:kern w:val="2"/>
        </w:rPr>
        <w:t>2日觀國字第1070927823號令修正</w:t>
      </w:r>
      <w:bookmarkEnd w:id="0"/>
    </w:p>
    <w:p w14:paraId="76EE99D1" w14:textId="667C7C17" w:rsidR="006A65F9" w:rsidRPr="001704EA" w:rsidRDefault="006A65F9" w:rsidP="001704EA">
      <w:pPr>
        <w:autoSpaceDN/>
        <w:ind w:leftChars="600" w:left="1200"/>
        <w:textAlignment w:val="auto"/>
        <w:rPr>
          <w:rFonts w:ascii="標楷體" w:eastAsia="標楷體" w:hAnsi="標楷體" w:cstheme="minorBidi"/>
          <w:kern w:val="2"/>
        </w:rPr>
      </w:pPr>
      <w:r w:rsidRPr="001704EA">
        <w:rPr>
          <w:rFonts w:ascii="標楷體" w:eastAsia="標楷體" w:hAnsi="標楷體" w:cstheme="minorBidi" w:hint="eastAsia"/>
          <w:kern w:val="2"/>
        </w:rPr>
        <w:t>中華民國</w:t>
      </w:r>
      <w:r w:rsidRPr="001704EA">
        <w:rPr>
          <w:rFonts w:ascii="標楷體" w:eastAsia="標楷體" w:hAnsi="標楷體" w:cstheme="minorBidi"/>
          <w:kern w:val="2"/>
        </w:rPr>
        <w:t>111</w:t>
      </w:r>
      <w:r w:rsidRPr="001704EA">
        <w:rPr>
          <w:rFonts w:ascii="標楷體" w:eastAsia="標楷體" w:hAnsi="標楷體" w:cstheme="minorBidi" w:hint="eastAsia"/>
          <w:kern w:val="2"/>
        </w:rPr>
        <w:t>年8 月1</w:t>
      </w:r>
      <w:r w:rsidRPr="001704EA">
        <w:rPr>
          <w:rFonts w:ascii="標楷體" w:eastAsia="標楷體" w:hAnsi="標楷體" w:cstheme="minorBidi"/>
          <w:kern w:val="2"/>
        </w:rPr>
        <w:t>0</w:t>
      </w:r>
      <w:r w:rsidRPr="001704EA">
        <w:rPr>
          <w:rFonts w:ascii="標楷體" w:eastAsia="標楷體" w:hAnsi="標楷體" w:cstheme="minorBidi" w:hint="eastAsia"/>
          <w:kern w:val="2"/>
        </w:rPr>
        <w:t xml:space="preserve"> 日觀國字第1</w:t>
      </w:r>
      <w:r w:rsidRPr="001704EA">
        <w:rPr>
          <w:rFonts w:ascii="標楷體" w:eastAsia="標楷體" w:hAnsi="標楷體" w:cstheme="minorBidi"/>
          <w:kern w:val="2"/>
        </w:rPr>
        <w:t>1110017461</w:t>
      </w:r>
      <w:r w:rsidRPr="001704EA">
        <w:rPr>
          <w:rFonts w:ascii="標楷體" w:eastAsia="標楷體" w:hAnsi="標楷體" w:cstheme="minorBidi" w:hint="eastAsia"/>
          <w:kern w:val="2"/>
        </w:rPr>
        <w:t>號令修正</w:t>
      </w:r>
    </w:p>
    <w:p w14:paraId="7D57A779" w14:textId="250EFD6B" w:rsidR="007506C1" w:rsidRPr="001704EA" w:rsidRDefault="007506C1" w:rsidP="001704EA">
      <w:pPr>
        <w:autoSpaceDN/>
        <w:ind w:leftChars="600" w:left="1200"/>
        <w:textAlignment w:val="auto"/>
        <w:rPr>
          <w:rFonts w:ascii="標楷體" w:eastAsia="標楷體" w:hAnsi="標楷體" w:cstheme="minorBidi"/>
          <w:kern w:val="2"/>
        </w:rPr>
      </w:pPr>
      <w:r w:rsidRPr="001704EA">
        <w:rPr>
          <w:rFonts w:ascii="標楷體" w:eastAsia="標楷體" w:hAnsi="標楷體" w:cstheme="minorBidi" w:hint="eastAsia"/>
          <w:kern w:val="2"/>
        </w:rPr>
        <w:t>中華民國 113 年</w:t>
      </w:r>
      <w:r w:rsidR="006A65F9" w:rsidRPr="001704EA">
        <w:rPr>
          <w:rFonts w:ascii="標楷體" w:eastAsia="標楷體" w:hAnsi="標楷體" w:cstheme="minorBidi"/>
          <w:kern w:val="2"/>
        </w:rPr>
        <w:t>7</w:t>
      </w:r>
      <w:r w:rsidRPr="001704EA">
        <w:rPr>
          <w:rFonts w:ascii="標楷體" w:eastAsia="標楷體" w:hAnsi="標楷體" w:cstheme="minorBidi" w:hint="eastAsia"/>
          <w:kern w:val="2"/>
        </w:rPr>
        <w:t xml:space="preserve">月 </w:t>
      </w:r>
      <w:r w:rsidR="006A65F9" w:rsidRPr="001704EA">
        <w:rPr>
          <w:rFonts w:ascii="標楷體" w:eastAsia="標楷體" w:hAnsi="標楷體" w:cstheme="minorBidi"/>
          <w:kern w:val="2"/>
        </w:rPr>
        <w:t>10</w:t>
      </w:r>
      <w:r w:rsidRPr="001704EA">
        <w:rPr>
          <w:rFonts w:ascii="標楷體" w:eastAsia="標楷體" w:hAnsi="標楷體" w:cstheme="minorBidi" w:hint="eastAsia"/>
          <w:kern w:val="2"/>
        </w:rPr>
        <w:t xml:space="preserve"> 日觀國字第 113100</w:t>
      </w:r>
      <w:r w:rsidR="006A65F9" w:rsidRPr="001704EA">
        <w:rPr>
          <w:rFonts w:ascii="標楷體" w:eastAsia="標楷體" w:hAnsi="標楷體" w:cstheme="minorBidi"/>
          <w:kern w:val="2"/>
        </w:rPr>
        <w:t>3931</w:t>
      </w:r>
      <w:r w:rsidR="00561D06">
        <w:rPr>
          <w:rFonts w:ascii="標楷體" w:eastAsia="標楷體" w:hAnsi="標楷體" w:cstheme="minorBidi" w:hint="eastAsia"/>
          <w:kern w:val="2"/>
        </w:rPr>
        <w:t>1</w:t>
      </w:r>
      <w:bookmarkStart w:id="1" w:name="_GoBack"/>
      <w:bookmarkEnd w:id="1"/>
      <w:r w:rsidRPr="001704EA">
        <w:rPr>
          <w:rFonts w:ascii="標楷體" w:eastAsia="標楷體" w:hAnsi="標楷體" w:cstheme="minorBidi" w:hint="eastAsia"/>
          <w:kern w:val="2"/>
        </w:rPr>
        <w:t xml:space="preserve"> 號令修正</w:t>
      </w:r>
    </w:p>
    <w:p w14:paraId="1346D7AA" w14:textId="6ED74736" w:rsidR="0084477A" w:rsidRPr="004F17B8" w:rsidRDefault="0084477A" w:rsidP="001704EA">
      <w:pPr>
        <w:pStyle w:val="Textbody"/>
        <w:spacing w:beforeLines="50" w:before="120" w:line="460" w:lineRule="exact"/>
        <w:ind w:left="527" w:hanging="527"/>
        <w:rPr>
          <w:rFonts w:ascii="標楷體" w:eastAsia="標楷體" w:hAnsi="標楷體" w:cs="Times New Roman"/>
          <w:color w:val="000000"/>
          <w:sz w:val="28"/>
          <w:szCs w:val="28"/>
        </w:rPr>
      </w:pPr>
      <w:r w:rsidRPr="004F17B8">
        <w:rPr>
          <w:rFonts w:ascii="標楷體" w:eastAsia="標楷體" w:hAnsi="標楷體" w:cs="Times New Roman"/>
          <w:color w:val="000000"/>
          <w:sz w:val="28"/>
          <w:szCs w:val="28"/>
        </w:rPr>
        <w:t>一、交通部觀光署</w:t>
      </w:r>
      <w:r w:rsidRPr="004F17B8">
        <w:rPr>
          <w:rFonts w:ascii="標楷體" w:eastAsia="標楷體" w:hAnsi="標楷體"/>
          <w:color w:val="000000"/>
          <w:sz w:val="28"/>
          <w:szCs w:val="28"/>
        </w:rPr>
        <w:t>（</w:t>
      </w:r>
      <w:r w:rsidRPr="004F17B8">
        <w:rPr>
          <w:rFonts w:ascii="標楷體" w:eastAsia="標楷體" w:hAnsi="標楷體" w:cs="Times New Roman"/>
          <w:color w:val="000000"/>
          <w:sz w:val="28"/>
          <w:szCs w:val="28"/>
        </w:rPr>
        <w:t>以下簡稱本署</w:t>
      </w:r>
      <w:r w:rsidRPr="004F17B8">
        <w:rPr>
          <w:rFonts w:ascii="標楷體" w:eastAsia="標楷體" w:hAnsi="標楷體"/>
          <w:color w:val="000000"/>
          <w:sz w:val="28"/>
          <w:szCs w:val="28"/>
        </w:rPr>
        <w:t>）</w:t>
      </w:r>
      <w:r w:rsidRPr="004F17B8">
        <w:rPr>
          <w:rFonts w:ascii="標楷體" w:eastAsia="標楷體" w:hAnsi="標楷體" w:cs="Times New Roman"/>
          <w:color w:val="000000"/>
          <w:sz w:val="28"/>
          <w:szCs w:val="28"/>
        </w:rPr>
        <w:t>為積極爭取以臺灣為交通運輸節點的空海聯營 (Fly-Cruise)旅遊發展，鼓勵國際郵輪公司安排以臺灣為轉接點，結合航空與郵輪兩種交通工具的來臺行程，吸引全球旅客，特訂定本要點。</w:t>
      </w:r>
    </w:p>
    <w:p w14:paraId="768B4BA2" w14:textId="77777777" w:rsidR="0084477A" w:rsidRPr="004F17B8" w:rsidRDefault="0084477A" w:rsidP="001704EA">
      <w:pPr>
        <w:pStyle w:val="Textbody"/>
        <w:spacing w:line="460" w:lineRule="exact"/>
        <w:ind w:left="526" w:hanging="526"/>
        <w:rPr>
          <w:rFonts w:ascii="標楷體" w:eastAsia="標楷體" w:hAnsi="標楷體" w:cs="Times New Roman"/>
          <w:color w:val="000000"/>
          <w:sz w:val="28"/>
          <w:szCs w:val="28"/>
        </w:rPr>
      </w:pPr>
      <w:r w:rsidRPr="004F17B8">
        <w:rPr>
          <w:rFonts w:ascii="標楷體" w:eastAsia="標楷體" w:hAnsi="標楷體" w:cs="Times New Roman" w:hint="eastAsia"/>
          <w:color w:val="000000"/>
          <w:sz w:val="28"/>
          <w:szCs w:val="28"/>
        </w:rPr>
        <w:t>二、獎助對象：</w:t>
      </w:r>
    </w:p>
    <w:p w14:paraId="58E174D2" w14:textId="3DD790AC" w:rsidR="0084477A" w:rsidRPr="004F17B8" w:rsidRDefault="0084477A" w:rsidP="001704EA">
      <w:pPr>
        <w:pStyle w:val="Textbody"/>
        <w:spacing w:line="460" w:lineRule="exact"/>
        <w:ind w:leftChars="200" w:left="1240" w:hangingChars="300" w:hanging="840"/>
        <w:rPr>
          <w:rFonts w:ascii="標楷體" w:eastAsia="標楷體" w:hAnsi="標楷體" w:cs="Times New Roman"/>
          <w:color w:val="000000"/>
          <w:sz w:val="28"/>
          <w:szCs w:val="28"/>
        </w:rPr>
      </w:pPr>
      <w:r w:rsidRPr="004F17B8">
        <w:rPr>
          <w:rFonts w:ascii="標楷體" w:eastAsia="標楷體" w:hAnsi="標楷體" w:cs="Times New Roman" w:hint="eastAsia"/>
          <w:color w:val="000000"/>
          <w:sz w:val="28"/>
          <w:szCs w:val="28"/>
        </w:rPr>
        <w:t>（一）指經各國及大陸地區（含香港及澳門）主管機關立案認定可經營載運旅客之郵輪公司。</w:t>
      </w:r>
    </w:p>
    <w:p w14:paraId="53D3D4E2" w14:textId="06682489" w:rsidR="0084477A" w:rsidRPr="004F17B8" w:rsidRDefault="0084477A" w:rsidP="001704EA">
      <w:pPr>
        <w:pStyle w:val="Textbody"/>
        <w:spacing w:line="460" w:lineRule="exact"/>
        <w:ind w:leftChars="200" w:left="1240" w:hangingChars="300" w:hanging="840"/>
        <w:rPr>
          <w:rFonts w:ascii="標楷體" w:eastAsia="標楷體" w:hAnsi="標楷體" w:cs="Times New Roman"/>
          <w:color w:val="000000"/>
          <w:sz w:val="28"/>
          <w:szCs w:val="28"/>
        </w:rPr>
      </w:pPr>
      <w:r w:rsidRPr="004F17B8">
        <w:rPr>
          <w:rFonts w:ascii="標楷體" w:eastAsia="標楷體" w:hAnsi="標楷體" w:cs="Times New Roman" w:hint="eastAsia"/>
          <w:color w:val="000000"/>
          <w:sz w:val="28"/>
          <w:szCs w:val="28"/>
        </w:rPr>
        <w:t>（二）我國合法設立之綜合旅行業或甲種旅行業。</w:t>
      </w:r>
    </w:p>
    <w:p w14:paraId="3DB0E9D1" w14:textId="77777777" w:rsidR="0084477A" w:rsidRPr="004F17B8" w:rsidRDefault="0084477A" w:rsidP="001704EA">
      <w:pPr>
        <w:pStyle w:val="Textbody"/>
        <w:spacing w:line="460" w:lineRule="exact"/>
        <w:ind w:left="526" w:hanging="526"/>
        <w:jc w:val="both"/>
        <w:rPr>
          <w:rFonts w:ascii="標楷體" w:eastAsia="標楷體" w:hAnsi="標楷體"/>
          <w:color w:val="000000"/>
          <w:sz w:val="28"/>
          <w:szCs w:val="28"/>
        </w:rPr>
      </w:pPr>
      <w:r w:rsidRPr="004F17B8">
        <w:rPr>
          <w:rFonts w:ascii="標楷體" w:eastAsia="標楷體" w:hAnsi="標楷體"/>
          <w:color w:val="000000"/>
          <w:sz w:val="28"/>
          <w:szCs w:val="28"/>
        </w:rPr>
        <w:t>三、本要點用詞，定義如下：</w:t>
      </w:r>
    </w:p>
    <w:p w14:paraId="4706DA0E" w14:textId="15FCC4E9" w:rsidR="0084477A" w:rsidRPr="004F17B8" w:rsidRDefault="0084477A" w:rsidP="001704EA">
      <w:pPr>
        <w:pStyle w:val="Textbody"/>
        <w:spacing w:line="460" w:lineRule="exact"/>
        <w:ind w:leftChars="200" w:left="1240" w:hangingChars="300" w:hanging="840"/>
        <w:rPr>
          <w:sz w:val="28"/>
          <w:szCs w:val="28"/>
        </w:rPr>
      </w:pPr>
      <w:r w:rsidRPr="004F17B8">
        <w:rPr>
          <w:rFonts w:ascii="標楷體" w:eastAsia="標楷體" w:hAnsi="標楷體"/>
          <w:color w:val="000000"/>
          <w:sz w:val="28"/>
          <w:szCs w:val="28"/>
        </w:rPr>
        <w:t>（一）郵輪：指具備交通、旅館住宿、餐飲供應及休閒場所等多功能之客輪。</w:t>
      </w:r>
    </w:p>
    <w:p w14:paraId="6CE830D6" w14:textId="1D1ADE90" w:rsidR="0084477A" w:rsidRPr="004F17B8" w:rsidRDefault="0084477A" w:rsidP="001704EA">
      <w:pPr>
        <w:pStyle w:val="Textbody"/>
        <w:spacing w:line="460" w:lineRule="exact"/>
        <w:ind w:leftChars="200" w:left="1240" w:hangingChars="300" w:hanging="840"/>
        <w:rPr>
          <w:rFonts w:ascii="標楷體" w:eastAsia="標楷體" w:hAnsi="標楷體"/>
          <w:color w:val="000000"/>
          <w:sz w:val="28"/>
          <w:szCs w:val="28"/>
        </w:rPr>
      </w:pPr>
      <w:r w:rsidRPr="004F17B8">
        <w:rPr>
          <w:rFonts w:ascii="標楷體" w:eastAsia="標楷體" w:hAnsi="標楷體"/>
          <w:color w:val="000000"/>
          <w:sz w:val="28"/>
          <w:szCs w:val="28"/>
        </w:rPr>
        <w:t>（二）空海聯營旅遊：指結合航空與郵輪兩種交通載具之旅遊方式。</w:t>
      </w:r>
    </w:p>
    <w:p w14:paraId="60902520" w14:textId="2AD8EB78" w:rsidR="0084477A" w:rsidRPr="004F17B8" w:rsidRDefault="0084477A" w:rsidP="001704EA">
      <w:pPr>
        <w:pStyle w:val="Textbody"/>
        <w:spacing w:line="460" w:lineRule="exact"/>
        <w:ind w:leftChars="200" w:left="1240" w:hangingChars="300" w:hanging="840"/>
        <w:rPr>
          <w:rFonts w:ascii="標楷體" w:eastAsia="標楷體" w:hAnsi="標楷體"/>
          <w:color w:val="000000"/>
          <w:sz w:val="28"/>
          <w:szCs w:val="28"/>
        </w:rPr>
      </w:pPr>
      <w:r w:rsidRPr="004F17B8">
        <w:rPr>
          <w:rFonts w:ascii="標楷體" w:eastAsia="標楷體" w:hAnsi="標楷體"/>
          <w:color w:val="000000"/>
          <w:sz w:val="28"/>
          <w:szCs w:val="28"/>
        </w:rPr>
        <w:t>（三）空海聯營旅客：</w:t>
      </w:r>
      <w:r w:rsidRPr="004F17B8">
        <w:rPr>
          <w:rFonts w:ascii="標楷體" w:eastAsia="標楷體" w:hAnsi="標楷體" w:hint="eastAsia"/>
          <w:color w:val="000000"/>
          <w:sz w:val="28"/>
          <w:szCs w:val="28"/>
        </w:rPr>
        <w:t>指規劃之旅遊行程同時利用航空與郵輪兩種交通載具來臺之境外旅客（含大陸地區、香港及澳門）。</w:t>
      </w:r>
    </w:p>
    <w:p w14:paraId="5489873D" w14:textId="77777777" w:rsidR="0084477A" w:rsidRPr="004F17B8" w:rsidRDefault="0084477A" w:rsidP="001704EA">
      <w:pPr>
        <w:pStyle w:val="Textbody"/>
        <w:spacing w:line="460" w:lineRule="exact"/>
        <w:ind w:left="526" w:hanging="526"/>
        <w:rPr>
          <w:rFonts w:ascii="標楷體" w:eastAsia="標楷體" w:hAnsi="標楷體" w:cs="Times New Roman"/>
          <w:color w:val="000000"/>
          <w:sz w:val="28"/>
          <w:szCs w:val="28"/>
        </w:rPr>
      </w:pPr>
      <w:r w:rsidRPr="004F17B8">
        <w:rPr>
          <w:rFonts w:ascii="標楷體" w:eastAsia="標楷體" w:hAnsi="標楷體" w:cs="Times New Roman" w:hint="eastAsia"/>
          <w:color w:val="000000"/>
          <w:sz w:val="28"/>
          <w:szCs w:val="28"/>
        </w:rPr>
        <w:t>四、獎助條件：</w:t>
      </w:r>
    </w:p>
    <w:p w14:paraId="3B160434" w14:textId="7BBA56E9" w:rsidR="0084477A" w:rsidRPr="004F17B8" w:rsidRDefault="0084477A" w:rsidP="001704EA">
      <w:pPr>
        <w:pStyle w:val="Textbody"/>
        <w:spacing w:line="460" w:lineRule="exact"/>
        <w:ind w:leftChars="200" w:left="1240" w:hangingChars="300" w:hanging="840"/>
        <w:rPr>
          <w:rFonts w:ascii="標楷體" w:eastAsia="標楷體" w:hAnsi="標楷體" w:cs="Times New Roman"/>
          <w:color w:val="000000"/>
          <w:sz w:val="28"/>
          <w:szCs w:val="28"/>
        </w:rPr>
      </w:pPr>
      <w:r w:rsidRPr="004F17B8">
        <w:rPr>
          <w:rFonts w:ascii="標楷體" w:eastAsia="標楷體" w:hAnsi="標楷體" w:cs="Times New Roman" w:hint="eastAsia"/>
          <w:color w:val="000000"/>
          <w:sz w:val="28"/>
          <w:szCs w:val="28"/>
        </w:rPr>
        <w:t>（一）攬客包裝空海聯營旅遊行程之郵輪公司或旅行業，得依每一國際郵輪航次實際入境帶入之空海聯營旅客給予獎助十美元。</w:t>
      </w:r>
    </w:p>
    <w:p w14:paraId="6DD14004" w14:textId="36A51C2F" w:rsidR="0084477A" w:rsidRPr="004F17B8" w:rsidRDefault="0084477A" w:rsidP="001704EA">
      <w:pPr>
        <w:pStyle w:val="Textbody"/>
        <w:spacing w:line="460" w:lineRule="exact"/>
        <w:ind w:leftChars="200" w:left="1240" w:hangingChars="300" w:hanging="840"/>
        <w:rPr>
          <w:rFonts w:ascii="標楷體" w:eastAsia="標楷體" w:hAnsi="標楷體" w:cs="Times New Roman"/>
          <w:color w:val="000000"/>
          <w:sz w:val="28"/>
          <w:szCs w:val="28"/>
        </w:rPr>
      </w:pPr>
      <w:r w:rsidRPr="004F17B8">
        <w:rPr>
          <w:rFonts w:ascii="標楷體" w:eastAsia="標楷體" w:hAnsi="標楷體" w:cs="Times New Roman" w:hint="eastAsia"/>
          <w:color w:val="000000"/>
          <w:sz w:val="28"/>
          <w:szCs w:val="28"/>
        </w:rPr>
        <w:t>（二）同一申請案不得與本署所提供之其他獎助或促銷方案重複申請。</w:t>
      </w:r>
    </w:p>
    <w:p w14:paraId="3E62847C" w14:textId="77777777" w:rsidR="004F17B8" w:rsidRPr="004F17B8" w:rsidRDefault="004F17B8" w:rsidP="001704EA">
      <w:pPr>
        <w:pStyle w:val="Textbody"/>
        <w:spacing w:line="460" w:lineRule="exact"/>
        <w:ind w:left="566" w:hanging="566"/>
        <w:jc w:val="both"/>
        <w:rPr>
          <w:rFonts w:ascii="標楷體" w:eastAsia="標楷體" w:hAnsi="標楷體"/>
          <w:color w:val="000000"/>
          <w:sz w:val="28"/>
          <w:szCs w:val="28"/>
        </w:rPr>
      </w:pPr>
      <w:r w:rsidRPr="004F17B8">
        <w:rPr>
          <w:rFonts w:ascii="標楷體" w:eastAsia="標楷體" w:hAnsi="標楷體"/>
          <w:color w:val="000000"/>
          <w:sz w:val="28"/>
          <w:szCs w:val="28"/>
        </w:rPr>
        <w:t>五、經費結報及請撥機制：</w:t>
      </w:r>
    </w:p>
    <w:p w14:paraId="6481662E" w14:textId="390C7961" w:rsidR="004F17B8" w:rsidRPr="004F17B8" w:rsidRDefault="004F17B8" w:rsidP="001704EA">
      <w:pPr>
        <w:pStyle w:val="Textbody"/>
        <w:spacing w:line="460" w:lineRule="exact"/>
        <w:ind w:leftChars="200" w:left="1240" w:hangingChars="300" w:hanging="840"/>
        <w:rPr>
          <w:sz w:val="28"/>
          <w:szCs w:val="28"/>
        </w:rPr>
      </w:pPr>
      <w:r w:rsidRPr="004F17B8">
        <w:rPr>
          <w:rFonts w:ascii="標楷體" w:eastAsia="標楷體" w:hAnsi="標楷體"/>
          <w:color w:val="000000"/>
          <w:sz w:val="28"/>
          <w:szCs w:val="28"/>
        </w:rPr>
        <w:t>（一）郵輪入出臺灣相關申請作業應遵守我國商港法、航業法、船舶法及相關子法規定辦理。</w:t>
      </w:r>
    </w:p>
    <w:p w14:paraId="5339EA72" w14:textId="2E99614B" w:rsidR="004F17B8" w:rsidRPr="004F17B8" w:rsidRDefault="004F17B8" w:rsidP="001704EA">
      <w:pPr>
        <w:pStyle w:val="Textbody"/>
        <w:spacing w:line="460" w:lineRule="exact"/>
        <w:ind w:leftChars="200" w:left="1240" w:hangingChars="300" w:hanging="840"/>
        <w:rPr>
          <w:sz w:val="28"/>
          <w:szCs w:val="28"/>
        </w:rPr>
      </w:pPr>
      <w:r w:rsidRPr="004F17B8">
        <w:rPr>
          <w:rFonts w:ascii="標楷體" w:eastAsia="標楷體" w:hAnsi="標楷體"/>
          <w:color w:val="000000"/>
          <w:sz w:val="28"/>
          <w:szCs w:val="28"/>
        </w:rPr>
        <w:t>（二）獎助對象有二個以上時，應自行協調由其中一方提出申請。</w:t>
      </w:r>
    </w:p>
    <w:p w14:paraId="6FE3FB4A" w14:textId="4D365908" w:rsidR="004F17B8" w:rsidRPr="004F17B8" w:rsidRDefault="004F17B8" w:rsidP="001704EA">
      <w:pPr>
        <w:pStyle w:val="Textbody"/>
        <w:spacing w:line="460" w:lineRule="exact"/>
        <w:ind w:leftChars="200" w:left="1240" w:hangingChars="300" w:hanging="840"/>
        <w:rPr>
          <w:rFonts w:ascii="標楷體" w:eastAsia="標楷體" w:hAnsi="標楷體"/>
          <w:color w:val="000000"/>
          <w:sz w:val="28"/>
          <w:szCs w:val="28"/>
        </w:rPr>
      </w:pPr>
      <w:r w:rsidRPr="004F17B8">
        <w:rPr>
          <w:rFonts w:ascii="標楷體" w:eastAsia="標楷體" w:hAnsi="標楷體"/>
          <w:color w:val="000000"/>
          <w:sz w:val="28"/>
          <w:szCs w:val="28"/>
        </w:rPr>
        <w:t>（三）申請獎助對象應於郵輪停靠臺灣並完成</w:t>
      </w:r>
      <w:r w:rsidR="007D52DA">
        <w:rPr>
          <w:rFonts w:ascii="標楷體" w:eastAsia="標楷體" w:hAnsi="標楷體" w:hint="eastAsia"/>
          <w:color w:val="000000"/>
          <w:sz w:val="28"/>
          <w:szCs w:val="28"/>
        </w:rPr>
        <w:t>每一</w:t>
      </w:r>
      <w:r w:rsidRPr="004F17B8">
        <w:rPr>
          <w:rFonts w:ascii="標楷體" w:eastAsia="標楷體" w:hAnsi="標楷體"/>
          <w:color w:val="000000"/>
          <w:sz w:val="28"/>
          <w:szCs w:val="28"/>
        </w:rPr>
        <w:t>申請行程後一百二十</w:t>
      </w:r>
      <w:r w:rsidRPr="004F17B8">
        <w:rPr>
          <w:rFonts w:ascii="標楷體" w:eastAsia="標楷體" w:hAnsi="標楷體"/>
          <w:color w:val="000000"/>
          <w:sz w:val="28"/>
          <w:szCs w:val="28"/>
        </w:rPr>
        <w:lastRenderedPageBreak/>
        <w:t>個日曆天（每一申請行程完成後翌日起算）內檢附以下資料送本署審核：</w:t>
      </w:r>
    </w:p>
    <w:p w14:paraId="2E8BDF1B" w14:textId="70FD2306" w:rsidR="004F17B8" w:rsidRPr="004F17B8" w:rsidRDefault="004F17B8" w:rsidP="001704EA">
      <w:pPr>
        <w:pStyle w:val="Textbody"/>
        <w:spacing w:line="460" w:lineRule="exact"/>
        <w:ind w:leftChars="300" w:left="1160" w:hangingChars="200" w:hanging="560"/>
        <w:jc w:val="both"/>
        <w:rPr>
          <w:sz w:val="28"/>
          <w:szCs w:val="28"/>
        </w:rPr>
      </w:pPr>
      <w:r w:rsidRPr="004F17B8">
        <w:rPr>
          <w:rFonts w:ascii="標楷體" w:eastAsia="標楷體" w:hAnsi="標楷體"/>
          <w:color w:val="000000"/>
          <w:sz w:val="28"/>
          <w:szCs w:val="28"/>
        </w:rPr>
        <w:t>１、獎助金核撥表（如附件一）。</w:t>
      </w:r>
    </w:p>
    <w:p w14:paraId="46FAE7C0" w14:textId="038F6F72" w:rsidR="004F17B8" w:rsidRPr="004F17B8" w:rsidRDefault="004F17B8" w:rsidP="001704EA">
      <w:pPr>
        <w:pStyle w:val="Textbody"/>
        <w:spacing w:line="460" w:lineRule="exact"/>
        <w:ind w:leftChars="300" w:left="1160" w:hangingChars="200" w:hanging="560"/>
        <w:jc w:val="both"/>
        <w:rPr>
          <w:sz w:val="28"/>
          <w:szCs w:val="28"/>
        </w:rPr>
      </w:pPr>
      <w:r w:rsidRPr="004F17B8">
        <w:rPr>
          <w:rFonts w:ascii="標楷體" w:eastAsia="標楷體" w:hAnsi="標楷體"/>
          <w:color w:val="000000"/>
          <w:sz w:val="28"/>
          <w:szCs w:val="28"/>
        </w:rPr>
        <w:t>２、領據（如附件二）。</w:t>
      </w:r>
    </w:p>
    <w:p w14:paraId="22997B88" w14:textId="42C78D1E" w:rsidR="004F17B8" w:rsidRPr="004F17B8" w:rsidRDefault="004F17B8" w:rsidP="001704EA">
      <w:pPr>
        <w:pStyle w:val="Textbody"/>
        <w:spacing w:line="460" w:lineRule="exact"/>
        <w:ind w:leftChars="300" w:left="1160" w:hangingChars="200" w:hanging="560"/>
        <w:jc w:val="both"/>
        <w:rPr>
          <w:sz w:val="28"/>
          <w:szCs w:val="28"/>
        </w:rPr>
      </w:pPr>
      <w:r w:rsidRPr="004F17B8">
        <w:rPr>
          <w:rFonts w:ascii="標楷體" w:eastAsia="標楷體" w:hAnsi="標楷體"/>
          <w:color w:val="000000"/>
          <w:sz w:val="28"/>
          <w:szCs w:val="28"/>
        </w:rPr>
        <w:t>３、船務代理公司確認之登船旅客名單（如附件三）。</w:t>
      </w:r>
    </w:p>
    <w:p w14:paraId="7524CE85" w14:textId="398EC9E6" w:rsidR="004F17B8" w:rsidRPr="004F17B8" w:rsidRDefault="004F17B8" w:rsidP="001704EA">
      <w:pPr>
        <w:pStyle w:val="Textbody"/>
        <w:spacing w:line="460" w:lineRule="exact"/>
        <w:ind w:leftChars="300" w:left="1160" w:hangingChars="200" w:hanging="560"/>
        <w:jc w:val="both"/>
        <w:rPr>
          <w:sz w:val="28"/>
          <w:szCs w:val="28"/>
        </w:rPr>
      </w:pPr>
      <w:r w:rsidRPr="004F17B8">
        <w:rPr>
          <w:rFonts w:ascii="標楷體" w:eastAsia="標楷體" w:hAnsi="標楷體"/>
          <w:color w:val="000000"/>
          <w:sz w:val="28"/>
          <w:szCs w:val="28"/>
        </w:rPr>
        <w:t>４、郵輪行程資料。</w:t>
      </w:r>
    </w:p>
    <w:p w14:paraId="2DC7FF6E" w14:textId="63630A22" w:rsidR="004F17B8" w:rsidRPr="004F17B8" w:rsidRDefault="004F17B8" w:rsidP="001704EA">
      <w:pPr>
        <w:pStyle w:val="Textbody"/>
        <w:spacing w:line="460" w:lineRule="exact"/>
        <w:ind w:leftChars="300" w:left="1160" w:hangingChars="200" w:hanging="560"/>
        <w:jc w:val="both"/>
        <w:rPr>
          <w:sz w:val="28"/>
          <w:szCs w:val="28"/>
        </w:rPr>
      </w:pPr>
      <w:r w:rsidRPr="004F17B8">
        <w:rPr>
          <w:rFonts w:ascii="標楷體" w:eastAsia="標楷體" w:hAnsi="標楷體"/>
          <w:color w:val="000000"/>
          <w:sz w:val="28"/>
          <w:szCs w:val="28"/>
        </w:rPr>
        <w:t>５、獎助對象係屬公職人員利益衝突迴避法第二條及第三條所稱公職人員或其關係人者，應填報公職人員利益衝突迴避法第十四條第二項公職人員及關係人身分關係揭露表（如附件四）及切結書（如附件五）。</w:t>
      </w:r>
    </w:p>
    <w:p w14:paraId="6C9ED79B" w14:textId="4CA257B1" w:rsidR="004F17B8" w:rsidRPr="004F17B8" w:rsidRDefault="004F17B8" w:rsidP="001704EA">
      <w:pPr>
        <w:pStyle w:val="Textbody"/>
        <w:spacing w:line="460" w:lineRule="exact"/>
        <w:ind w:leftChars="200" w:left="1240" w:hangingChars="300" w:hanging="840"/>
        <w:rPr>
          <w:sz w:val="28"/>
          <w:szCs w:val="28"/>
        </w:rPr>
      </w:pPr>
      <w:r w:rsidRPr="004F17B8">
        <w:rPr>
          <w:rFonts w:ascii="標楷體" w:eastAsia="標楷體" w:hAnsi="標楷體"/>
          <w:color w:val="000000"/>
          <w:sz w:val="28"/>
          <w:szCs w:val="28"/>
        </w:rPr>
        <w:t>（四）逾期、重複申請或在期限內提送文件，但資料不全且未在本署通知補件日期內提供完整資料，本署得不受理申請。</w:t>
      </w:r>
    </w:p>
    <w:p w14:paraId="24C23B70" w14:textId="0B0B0AA7" w:rsidR="004F17B8" w:rsidRPr="004F17B8" w:rsidRDefault="004F17B8" w:rsidP="001704EA">
      <w:pPr>
        <w:pStyle w:val="Textbody"/>
        <w:spacing w:line="460" w:lineRule="exact"/>
        <w:ind w:leftChars="200" w:left="1240" w:hangingChars="300" w:hanging="840"/>
        <w:rPr>
          <w:sz w:val="28"/>
          <w:szCs w:val="28"/>
        </w:rPr>
      </w:pPr>
      <w:r w:rsidRPr="004F17B8">
        <w:rPr>
          <w:rFonts w:ascii="標楷體" w:eastAsia="標楷體" w:hAnsi="標楷體"/>
          <w:color w:val="000000"/>
          <w:sz w:val="28"/>
          <w:szCs w:val="28"/>
        </w:rPr>
        <w:t>（五）申請本獎助之郵輪航次需於中華民國一百十七年十二月三十一日前完成停靠臺灣航程；核撥獎助金額以前點所定獎助條件計算，直接匯撥於獎助對象提供之帳戶。</w:t>
      </w:r>
    </w:p>
    <w:p w14:paraId="76446341" w14:textId="41A46AFB" w:rsidR="004F17B8" w:rsidRPr="004F17B8" w:rsidRDefault="004F17B8" w:rsidP="001704EA">
      <w:pPr>
        <w:pStyle w:val="Textbody"/>
        <w:spacing w:line="460" w:lineRule="exact"/>
        <w:ind w:leftChars="200" w:left="1240" w:hangingChars="300" w:hanging="840"/>
        <w:rPr>
          <w:sz w:val="28"/>
          <w:szCs w:val="28"/>
        </w:rPr>
      </w:pPr>
      <w:r w:rsidRPr="004F17B8">
        <w:rPr>
          <w:rFonts w:ascii="標楷體" w:eastAsia="標楷體" w:hAnsi="標楷體"/>
          <w:color w:val="000000"/>
          <w:sz w:val="28"/>
          <w:szCs w:val="28"/>
        </w:rPr>
        <w:t>（六）申請截止日期為中華民國一百十八年四月三十日。</w:t>
      </w:r>
    </w:p>
    <w:p w14:paraId="0A0C18E3" w14:textId="77777777" w:rsidR="004F17B8" w:rsidRPr="004F17B8" w:rsidRDefault="004F17B8" w:rsidP="001704EA">
      <w:pPr>
        <w:pStyle w:val="Textbody"/>
        <w:spacing w:line="460" w:lineRule="exact"/>
        <w:ind w:left="526" w:hanging="526"/>
        <w:rPr>
          <w:rFonts w:ascii="標楷體" w:eastAsia="標楷體" w:hAnsi="標楷體" w:cs="Times New Roman"/>
          <w:color w:val="000000"/>
          <w:sz w:val="28"/>
          <w:szCs w:val="28"/>
        </w:rPr>
      </w:pPr>
      <w:r w:rsidRPr="004F17B8">
        <w:rPr>
          <w:rFonts w:ascii="標楷體" w:eastAsia="標楷體" w:hAnsi="標楷體" w:cs="Times New Roman" w:hint="eastAsia"/>
          <w:color w:val="000000"/>
          <w:sz w:val="28"/>
          <w:szCs w:val="28"/>
        </w:rPr>
        <w:t>六、經費來源：</w:t>
      </w:r>
    </w:p>
    <w:p w14:paraId="6AFD9A9E" w14:textId="0D236228" w:rsidR="004F17B8" w:rsidRPr="004F17B8" w:rsidRDefault="004F17B8" w:rsidP="001704EA">
      <w:pPr>
        <w:pStyle w:val="Textbody"/>
        <w:spacing w:line="460" w:lineRule="exact"/>
        <w:ind w:left="567"/>
        <w:rPr>
          <w:rFonts w:ascii="標楷體" w:eastAsia="標楷體" w:hAnsi="標楷體" w:cs="Times New Roman"/>
          <w:color w:val="000000"/>
          <w:sz w:val="28"/>
          <w:szCs w:val="28"/>
        </w:rPr>
      </w:pPr>
      <w:r w:rsidRPr="004F17B8">
        <w:rPr>
          <w:rFonts w:ascii="標楷體" w:eastAsia="標楷體" w:hAnsi="標楷體" w:cs="Times New Roman" w:hint="eastAsia"/>
          <w:color w:val="000000"/>
          <w:sz w:val="28"/>
          <w:szCs w:val="28"/>
        </w:rPr>
        <w:t>本要點獎助所需經費由本署編列觀光發展基金預算支應，當年預算額度用罄後即不再受理申請。</w:t>
      </w:r>
    </w:p>
    <w:p w14:paraId="0512018F" w14:textId="77777777" w:rsidR="004F17B8" w:rsidRPr="004F17B8" w:rsidRDefault="004F17B8" w:rsidP="001704EA">
      <w:pPr>
        <w:pStyle w:val="Textbody"/>
        <w:spacing w:line="460" w:lineRule="exact"/>
        <w:ind w:left="526" w:hanging="526"/>
        <w:jc w:val="both"/>
        <w:rPr>
          <w:rFonts w:ascii="標楷體" w:eastAsia="標楷體" w:hAnsi="標楷體"/>
          <w:color w:val="000000"/>
          <w:sz w:val="28"/>
          <w:szCs w:val="28"/>
        </w:rPr>
      </w:pPr>
      <w:r w:rsidRPr="004F17B8">
        <w:rPr>
          <w:rFonts w:ascii="標楷體" w:eastAsia="標楷體" w:hAnsi="標楷體"/>
          <w:color w:val="000000"/>
          <w:sz w:val="28"/>
          <w:szCs w:val="28"/>
        </w:rPr>
        <w:t>七、督導及考核：</w:t>
      </w:r>
    </w:p>
    <w:p w14:paraId="61E5C123" w14:textId="689A8784" w:rsidR="00A04397" w:rsidRPr="0027433E" w:rsidRDefault="004F17B8" w:rsidP="001704EA">
      <w:pPr>
        <w:pStyle w:val="Textbody"/>
        <w:spacing w:line="460" w:lineRule="exact"/>
        <w:ind w:leftChars="282" w:left="567" w:hangingChars="1" w:hanging="3"/>
        <w:rPr>
          <w:color w:val="000000"/>
        </w:rPr>
      </w:pPr>
      <w:r w:rsidRPr="004F17B8">
        <w:rPr>
          <w:rFonts w:ascii="標楷體" w:eastAsia="標楷體" w:hAnsi="標楷體"/>
          <w:color w:val="000000"/>
          <w:sz w:val="28"/>
          <w:szCs w:val="28"/>
        </w:rPr>
        <w:t>本署就空海聯營旅客獎助申請案負督導責任，除就發生虛報、浮報入境旅客人數，應追繳該部分獎助經費，並得對該獎助對象停止獎助一年。</w:t>
      </w:r>
    </w:p>
    <w:sectPr w:rsidR="00A04397" w:rsidRPr="0027433E" w:rsidSect="009553F1">
      <w:pgSz w:w="12240" w:h="15840"/>
      <w:pgMar w:top="1418" w:right="1418"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BC12D" w14:textId="77777777" w:rsidR="0017442A" w:rsidRDefault="00793C61">
      <w:r>
        <w:separator/>
      </w:r>
    </w:p>
  </w:endnote>
  <w:endnote w:type="continuationSeparator" w:id="0">
    <w:p w14:paraId="0071923A" w14:textId="77777777" w:rsidR="0017442A" w:rsidRDefault="0079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F4C68" w14:textId="77777777" w:rsidR="0017442A" w:rsidRDefault="00793C61">
      <w:r>
        <w:rPr>
          <w:color w:val="000000"/>
        </w:rPr>
        <w:separator/>
      </w:r>
    </w:p>
  </w:footnote>
  <w:footnote w:type="continuationSeparator" w:id="0">
    <w:p w14:paraId="68459804" w14:textId="77777777" w:rsidR="0017442A" w:rsidRDefault="00793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06C5"/>
    <w:multiLevelType w:val="hybridMultilevel"/>
    <w:tmpl w:val="D14AA2A8"/>
    <w:lvl w:ilvl="0" w:tplc="A3E4E1E8">
      <w:start w:val="1"/>
      <w:numFmt w:val="decimal"/>
      <w:lvlText w:val="%1."/>
      <w:lvlJc w:val="left"/>
      <w:pPr>
        <w:ind w:left="360" w:hanging="360"/>
      </w:pPr>
      <w:rPr>
        <w:rFonts w:hint="eastAsia"/>
        <w:b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3B207B"/>
    <w:multiLevelType w:val="hybridMultilevel"/>
    <w:tmpl w:val="3366394A"/>
    <w:lvl w:ilvl="0" w:tplc="294A559A">
      <w:start w:val="1"/>
      <w:numFmt w:val="decimal"/>
      <w:lvlText w:val="%1."/>
      <w:lvlJc w:val="left"/>
      <w:pPr>
        <w:ind w:left="360" w:hanging="360"/>
      </w:pPr>
      <w:rPr>
        <w:rFonts w:hint="eastAsia"/>
        <w:b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CD063EF"/>
    <w:multiLevelType w:val="hybridMultilevel"/>
    <w:tmpl w:val="0F44EA9A"/>
    <w:lvl w:ilvl="0" w:tplc="0A5A6C42">
      <w:start w:val="5"/>
      <w:numFmt w:val="bullet"/>
      <w:lvlText w:val="※"/>
      <w:lvlJc w:val="left"/>
      <w:pPr>
        <w:ind w:left="600" w:hanging="480"/>
      </w:pPr>
      <w:rPr>
        <w:rFonts w:ascii="標楷體" w:eastAsia="標楷體" w:hAnsi="標楷體" w:cs="新細明體" w:hint="eastAsia"/>
        <w:color w:val="000000"/>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 w15:restartNumberingAfterBreak="0">
    <w:nsid w:val="37C7072A"/>
    <w:multiLevelType w:val="hybridMultilevel"/>
    <w:tmpl w:val="1A48A2C8"/>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4" w15:restartNumberingAfterBreak="0">
    <w:nsid w:val="4B274EA6"/>
    <w:multiLevelType w:val="hybridMultilevel"/>
    <w:tmpl w:val="D15C3E80"/>
    <w:lvl w:ilvl="0" w:tplc="24D687EA">
      <w:numFmt w:val="bullet"/>
      <w:lvlText w:val="□"/>
      <w:lvlJc w:val="left"/>
      <w:pPr>
        <w:tabs>
          <w:tab w:val="num" w:pos="480"/>
        </w:tabs>
        <w:ind w:left="480" w:hanging="360"/>
      </w:pPr>
      <w:rPr>
        <w:rFonts w:ascii="標楷體" w:eastAsia="標楷體" w:hAnsi="標楷體" w:cs="Times New Roman" w:hint="eastAsia"/>
      </w:rPr>
    </w:lvl>
    <w:lvl w:ilvl="1" w:tplc="2E666C4C">
      <w:start w:val="1"/>
      <w:numFmt w:val="decimal"/>
      <w:lvlText w:val="%2."/>
      <w:lvlJc w:val="left"/>
      <w:pPr>
        <w:tabs>
          <w:tab w:val="num" w:pos="1080"/>
        </w:tabs>
        <w:ind w:left="1080" w:hanging="480"/>
      </w:pPr>
      <w:rPr>
        <w:rFonts w:ascii="Times New Roman" w:hAnsi="Times New Roman" w:cs="Times New Roman"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6"/>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97"/>
    <w:rsid w:val="000E1667"/>
    <w:rsid w:val="001704EA"/>
    <w:rsid w:val="0017442A"/>
    <w:rsid w:val="0027433E"/>
    <w:rsid w:val="004F17B8"/>
    <w:rsid w:val="00561D06"/>
    <w:rsid w:val="005B48B2"/>
    <w:rsid w:val="006870F4"/>
    <w:rsid w:val="006A65F9"/>
    <w:rsid w:val="007506C1"/>
    <w:rsid w:val="00793C61"/>
    <w:rsid w:val="007D52DA"/>
    <w:rsid w:val="007E383D"/>
    <w:rsid w:val="0084477A"/>
    <w:rsid w:val="009553F1"/>
    <w:rsid w:val="009C25A7"/>
    <w:rsid w:val="00A04397"/>
    <w:rsid w:val="00C57206"/>
    <w:rsid w:val="00ED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0C5322"/>
  <w15:docId w15:val="{1AD3A43D-7B16-4733-B4A0-7AA6D4E7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477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cs="Tahoma"/>
      <w:kern w:val="3"/>
      <w:sz w:val="24"/>
      <w:szCs w:val="24"/>
    </w:rPr>
  </w:style>
  <w:style w:type="paragraph" w:styleId="a3">
    <w:name w:val="Body Text"/>
    <w:basedOn w:val="Textbody"/>
    <w:pPr>
      <w:spacing w:after="120"/>
    </w:pPr>
  </w:style>
  <w:style w:type="paragraph" w:customStyle="1" w:styleId="Heading">
    <w:name w:val="Heading"/>
    <w:basedOn w:val="Textbody"/>
    <w:next w:val="a3"/>
    <w:pPr>
      <w:keepNext/>
      <w:spacing w:before="240" w:after="120"/>
    </w:pPr>
    <w:rPr>
      <w:rFonts w:ascii="Arial" w:eastAsia="Andale Sans UI" w:hAnsi="Arial" w:cs="Arial"/>
      <w:sz w:val="28"/>
      <w:szCs w:val="28"/>
    </w:rPr>
  </w:style>
  <w:style w:type="paragraph" w:styleId="a4">
    <w:name w:val="List"/>
    <w:basedOn w:val="a3"/>
  </w:style>
  <w:style w:type="paragraph" w:styleId="a5">
    <w:name w:val="caption"/>
    <w:basedOn w:val="Textbody"/>
    <w:pPr>
      <w:suppressLineNumbers/>
      <w:spacing w:before="120" w:after="120"/>
    </w:pPr>
    <w:rPr>
      <w:i/>
      <w:iCs/>
    </w:rPr>
  </w:style>
  <w:style w:type="paragraph" w:customStyle="1" w:styleId="Index">
    <w:name w:val="Index"/>
    <w:basedOn w:val="Textbody"/>
    <w:pPr>
      <w:suppressLineNumbers/>
    </w:pPr>
  </w:style>
  <w:style w:type="paragraph" w:styleId="a6">
    <w:name w:val="List Paragraph"/>
    <w:basedOn w:val="a3"/>
    <w:pPr>
      <w:ind w:left="480"/>
      <w:textAlignment w:val="auto"/>
    </w:pPr>
    <w:rPr>
      <w:rFonts w:ascii="Calibri" w:eastAsia="Calibri" w:hAnsi="Calibri" w:cs="Times New Roman"/>
      <w:szCs w:val="22"/>
    </w:rPr>
  </w:style>
  <w:style w:type="paragraph" w:customStyle="1" w:styleId="Quotations">
    <w:name w:val="Quotations"/>
    <w:basedOn w:val="a3"/>
    <w:next w:val="a3"/>
    <w:pPr>
      <w:spacing w:before="200" w:after="160"/>
      <w:ind w:left="864" w:right="864"/>
      <w:jc w:val="center"/>
      <w:textAlignment w:val="auto"/>
    </w:pPr>
    <w:rPr>
      <w:rFonts w:ascii="Calibri" w:eastAsia="Calibri" w:hAnsi="Calibri" w:cs="Times New Roman"/>
      <w:i/>
      <w:iCs/>
      <w:color w:val="404040"/>
      <w:szCs w:val="22"/>
    </w:r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a3"/>
    <w:pPr>
      <w:tabs>
        <w:tab w:val="center" w:pos="4153"/>
        <w:tab w:val="right" w:pos="8306"/>
      </w:tabs>
      <w:snapToGrid w:val="0"/>
    </w:pPr>
    <w:rPr>
      <w:sz w:val="20"/>
      <w:szCs w:val="20"/>
    </w:rPr>
  </w:style>
  <w:style w:type="paragraph" w:styleId="a8">
    <w:name w:val="footer"/>
    <w:basedOn w:val="a3"/>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9">
    <w:name w:val="annotation text"/>
    <w:basedOn w:val="Textbody"/>
    <w:pPr>
      <w:suppressAutoHyphens w:val="0"/>
    </w:pPr>
  </w:style>
  <w:style w:type="paragraph" w:styleId="aa">
    <w:name w:val="annotation subject"/>
    <w:basedOn w:val="a9"/>
    <w:next w:val="a9"/>
    <w:rPr>
      <w:b/>
      <w:bCs/>
    </w:rPr>
  </w:style>
  <w:style w:type="paragraph" w:styleId="ab">
    <w:name w:val="Balloon Text"/>
    <w:basedOn w:val="Textbody"/>
    <w:pPr>
      <w:suppressAutoHyphens w:val="0"/>
    </w:pPr>
    <w:rPr>
      <w:rFonts w:ascii="Calibri Light" w:eastAsia="Calibri Light" w:hAnsi="Calibri Light" w:cs="Calibri Light"/>
      <w:sz w:val="18"/>
      <w:szCs w:val="18"/>
    </w:rPr>
  </w:style>
  <w:style w:type="paragraph" w:customStyle="1" w:styleId="TableContents">
    <w:name w:val="Table Contents"/>
    <w:basedOn w:val="Standard"/>
    <w:pPr>
      <w:widowControl w:val="0"/>
      <w:suppressLineNumbers/>
    </w:pPr>
  </w:style>
  <w:style w:type="character" w:customStyle="1" w:styleId="ac">
    <w:name w:val="引文 字元"/>
    <w:rPr>
      <w:rFonts w:ascii="Calibri" w:eastAsia="Calibri" w:hAnsi="Calibri" w:cs="Times New Roman"/>
      <w:i/>
      <w:iCs/>
      <w:color w:val="404040"/>
      <w:kern w:val="3"/>
      <w:szCs w:val="22"/>
    </w:rPr>
  </w:style>
  <w:style w:type="character" w:customStyle="1" w:styleId="ad">
    <w:name w:val="頁首 字元"/>
    <w:rPr>
      <w:sz w:val="20"/>
      <w:szCs w:val="20"/>
    </w:rPr>
  </w:style>
  <w:style w:type="character" w:customStyle="1" w:styleId="ae">
    <w:name w:val="頁尾 字元"/>
    <w:rPr>
      <w:sz w:val="20"/>
      <w:szCs w:val="20"/>
    </w:rPr>
  </w:style>
  <w:style w:type="character" w:styleId="af">
    <w:name w:val="annotation reference"/>
    <w:basedOn w:val="a0"/>
    <w:rPr>
      <w:sz w:val="18"/>
      <w:szCs w:val="18"/>
    </w:rPr>
  </w:style>
  <w:style w:type="character" w:customStyle="1" w:styleId="af0">
    <w:name w:val="註解文字 字元"/>
    <w:basedOn w:val="a0"/>
  </w:style>
  <w:style w:type="character" w:customStyle="1" w:styleId="af1">
    <w:name w:val="註解主旨 字元"/>
    <w:basedOn w:val="af0"/>
    <w:rPr>
      <w:b/>
      <w:bCs/>
    </w:rPr>
  </w:style>
  <w:style w:type="character" w:customStyle="1" w:styleId="af2">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B5577-7D4F-435F-9D4A-582405B4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索心清</dc:creator>
  <cp:lastModifiedBy>劉騏銘</cp:lastModifiedBy>
  <cp:revision>8</cp:revision>
  <cp:lastPrinted>2024-06-06T06:54:00Z</cp:lastPrinted>
  <dcterms:created xsi:type="dcterms:W3CDTF">2024-07-17T06:14:00Z</dcterms:created>
  <dcterms:modified xsi:type="dcterms:W3CDTF">2024-07-18T10:09:00Z</dcterms:modified>
</cp:coreProperties>
</file>