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A10" w:rsidRDefault="00F05386">
      <w:pPr>
        <w:pStyle w:val="Textbody"/>
        <w:spacing w:line="460" w:lineRule="exact"/>
        <w:jc w:val="both"/>
      </w:pPr>
      <w:bookmarkStart w:id="0" w:name="_GoBack"/>
      <w:bookmarkEnd w:id="0"/>
      <w:r>
        <w:rPr>
          <w:rFonts w:ascii="標楷體" w:eastAsia="標楷體" w:hAnsi="標楷體"/>
          <w:sz w:val="40"/>
          <w:szCs w:val="40"/>
        </w:rPr>
        <w:t>交通部觀光局受理觀光遊樂業籌設申請案件審查小組設置要點部分規定修正總說明</w:t>
      </w:r>
    </w:p>
    <w:p w:rsidR="00650A10" w:rsidRDefault="00F05386">
      <w:pPr>
        <w:pStyle w:val="Textbody"/>
        <w:spacing w:line="460" w:lineRule="exact"/>
        <w:ind w:firstLine="560"/>
        <w:jc w:val="both"/>
        <w:rPr>
          <w:rFonts w:ascii="標楷體" w:eastAsia="標楷體" w:hAnsi="標楷體"/>
          <w:sz w:val="28"/>
          <w:szCs w:val="28"/>
        </w:rPr>
      </w:pPr>
      <w:r>
        <w:rPr>
          <w:rFonts w:ascii="標楷體" w:eastAsia="標楷體" w:hAnsi="標楷體"/>
          <w:sz w:val="28"/>
          <w:szCs w:val="28"/>
        </w:rPr>
        <w:t>交通部觀光局受理觀光遊樂業籌設申請案件審查小組設置要點（以下簡稱本要點）自中華民國九十二年五月二十九日函頒訂定。基於行政院推動組織調整，交通部觀光署組織法業經總統於一百十二年六月七日制定公布，行政院並定自一百十二年九月十五日施行，原交通部觀光局之權責事項，改由交通部觀光署管轄，爰修正本要點機關名稱及簡稱。（修正名稱及修正規定第一點、第三點、第四點與第六點）</w:t>
      </w:r>
    </w:p>
    <w:p w:rsidR="00650A10" w:rsidRDefault="00650A10">
      <w:pPr>
        <w:pStyle w:val="Textbody"/>
        <w:spacing w:line="460" w:lineRule="exact"/>
        <w:ind w:firstLine="560"/>
        <w:jc w:val="both"/>
        <w:rPr>
          <w:rFonts w:ascii="標楷體" w:eastAsia="標楷體" w:hAnsi="標楷體"/>
          <w:sz w:val="28"/>
          <w:szCs w:val="28"/>
        </w:rPr>
      </w:pPr>
    </w:p>
    <w:p w:rsidR="00650A10" w:rsidRDefault="00F05386">
      <w:pPr>
        <w:pStyle w:val="Textbody"/>
        <w:pageBreakBefore/>
        <w:suppressAutoHyphens w:val="0"/>
        <w:spacing w:after="184" w:line="460" w:lineRule="exact"/>
      </w:pPr>
      <w:r>
        <w:rPr>
          <w:rFonts w:ascii="標楷體" w:eastAsia="標楷體" w:hAnsi="標楷體"/>
          <w:sz w:val="40"/>
          <w:szCs w:val="40"/>
        </w:rPr>
        <w:lastRenderedPageBreak/>
        <w:t>交通部觀光局受理觀光遊樂業籌設申請案件審查小組設置要點部分規定修正對照表</w:t>
      </w:r>
    </w:p>
    <w:tbl>
      <w:tblPr>
        <w:tblW w:w="8777" w:type="dxa"/>
        <w:tblLayout w:type="fixed"/>
        <w:tblCellMar>
          <w:left w:w="10" w:type="dxa"/>
          <w:right w:w="10" w:type="dxa"/>
        </w:tblCellMar>
        <w:tblLook w:val="0000" w:firstRow="0" w:lastRow="0" w:firstColumn="0" w:lastColumn="0" w:noHBand="0" w:noVBand="0"/>
      </w:tblPr>
      <w:tblGrid>
        <w:gridCol w:w="2925"/>
        <w:gridCol w:w="2926"/>
        <w:gridCol w:w="2926"/>
      </w:tblGrid>
      <w:tr w:rsidR="00650A10">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jc w:val="center"/>
              <w:rPr>
                <w:rFonts w:ascii="標楷體" w:eastAsia="標楷體" w:hAnsi="標楷體"/>
              </w:rPr>
            </w:pPr>
            <w:r>
              <w:rPr>
                <w:rFonts w:ascii="標楷體" w:eastAsia="標楷體" w:hAnsi="標楷體"/>
              </w:rPr>
              <w:t>修正名稱</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jc w:val="center"/>
              <w:rPr>
                <w:rFonts w:ascii="標楷體" w:eastAsia="標楷體" w:hAnsi="標楷體"/>
              </w:rPr>
            </w:pPr>
            <w:r>
              <w:rPr>
                <w:rFonts w:ascii="標楷體" w:eastAsia="標楷體" w:hAnsi="標楷體"/>
              </w:rPr>
              <w:t>現行名稱</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jc w:val="center"/>
              <w:rPr>
                <w:rFonts w:ascii="標楷體" w:eastAsia="標楷體" w:hAnsi="標楷體"/>
              </w:rPr>
            </w:pPr>
            <w:r>
              <w:rPr>
                <w:rFonts w:ascii="標楷體" w:eastAsia="標楷體" w:hAnsi="標楷體"/>
              </w:rPr>
              <w:t>說明</w:t>
            </w:r>
          </w:p>
        </w:tc>
      </w:tr>
      <w:tr w:rsidR="00650A10">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suppressAutoHyphens w:val="0"/>
              <w:jc w:val="both"/>
            </w:pPr>
            <w:r>
              <w:rPr>
                <w:rFonts w:ascii="標楷體" w:eastAsia="標楷體" w:hAnsi="標楷體"/>
              </w:rPr>
              <w:t>交通部觀光</w:t>
            </w:r>
            <w:r>
              <w:rPr>
                <w:rFonts w:ascii="標楷體" w:eastAsia="標楷體" w:hAnsi="標楷體"/>
                <w:u w:val="single"/>
              </w:rPr>
              <w:t>署</w:t>
            </w:r>
            <w:r>
              <w:rPr>
                <w:rFonts w:ascii="標楷體" w:eastAsia="標楷體" w:hAnsi="標楷體"/>
              </w:rPr>
              <w:t>受理觀光遊樂業籌設申請案件審查小組設置要點</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suppressAutoHyphens w:val="0"/>
              <w:jc w:val="both"/>
            </w:pPr>
            <w:r>
              <w:rPr>
                <w:rFonts w:ascii="標楷體" w:eastAsia="標楷體" w:hAnsi="標楷體"/>
              </w:rPr>
              <w:t>交通部觀光局受理觀光遊樂業籌設申請案件審查小組設置要點</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rPr>
                <w:rFonts w:ascii="標楷體" w:eastAsia="標楷體" w:hAnsi="標楷體"/>
              </w:rPr>
            </w:pPr>
            <w:r>
              <w:rPr>
                <w:rFonts w:ascii="標楷體" w:eastAsia="標楷體" w:hAnsi="標楷體"/>
              </w:rPr>
              <w:t>配合組織改制，修正機關名稱為交通部觀光署。</w:t>
            </w:r>
          </w:p>
        </w:tc>
      </w:tr>
      <w:tr w:rsidR="00650A10">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jc w:val="center"/>
              <w:rPr>
                <w:rFonts w:ascii="標楷體" w:eastAsia="標楷體" w:hAnsi="標楷體"/>
              </w:rPr>
            </w:pPr>
            <w:r>
              <w:rPr>
                <w:rFonts w:ascii="標楷體" w:eastAsia="標楷體" w:hAnsi="標楷體"/>
              </w:rPr>
              <w:t>修正規定</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jc w:val="center"/>
              <w:rPr>
                <w:rFonts w:ascii="標楷體" w:eastAsia="標楷體" w:hAnsi="標楷體"/>
              </w:rPr>
            </w:pPr>
            <w:r>
              <w:rPr>
                <w:rFonts w:ascii="標楷體" w:eastAsia="標楷體" w:hAnsi="標楷體"/>
              </w:rPr>
              <w:t>現行規定</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jc w:val="center"/>
              <w:rPr>
                <w:rFonts w:ascii="標楷體" w:eastAsia="標楷體" w:hAnsi="標楷體"/>
              </w:rPr>
            </w:pPr>
            <w:r>
              <w:rPr>
                <w:rFonts w:ascii="標楷體" w:eastAsia="標楷體" w:hAnsi="標楷體"/>
              </w:rPr>
              <w:t>說明</w:t>
            </w:r>
          </w:p>
        </w:tc>
      </w:tr>
      <w:tr w:rsidR="00650A10">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suppressAutoHyphens w:val="0"/>
              <w:ind w:left="480" w:hanging="480"/>
              <w:jc w:val="both"/>
            </w:pPr>
            <w:r>
              <w:rPr>
                <w:rFonts w:ascii="標楷體" w:eastAsia="標楷體" w:hAnsi="標楷體"/>
              </w:rPr>
              <w:t>一、交通部觀光</w:t>
            </w:r>
            <w:r>
              <w:rPr>
                <w:rFonts w:ascii="標楷體" w:eastAsia="標楷體" w:hAnsi="標楷體"/>
                <w:u w:val="single"/>
              </w:rPr>
              <w:t>署</w:t>
            </w:r>
            <w:r>
              <w:rPr>
                <w:rFonts w:ascii="標楷體" w:eastAsia="標楷體" w:hAnsi="標楷體"/>
              </w:rPr>
              <w:t>（以下簡稱本</w:t>
            </w:r>
            <w:r>
              <w:rPr>
                <w:rFonts w:ascii="標楷體" w:eastAsia="標楷體" w:hAnsi="標楷體"/>
                <w:u w:val="single"/>
              </w:rPr>
              <w:t>署</w:t>
            </w:r>
            <w:r>
              <w:rPr>
                <w:rFonts w:ascii="標楷體" w:eastAsia="標楷體" w:hAnsi="標楷體"/>
              </w:rPr>
              <w:t>）為審查觀光遊樂業籌設、變更申請案，依觀光遊樂業管理規則第九條第三項規定設置觀光遊樂業籌設申請案件審查小組（以下簡稱本小組）。</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suppressAutoHyphens w:val="0"/>
              <w:ind w:left="480" w:hanging="480"/>
              <w:jc w:val="both"/>
            </w:pPr>
            <w:r>
              <w:rPr>
                <w:rFonts w:ascii="標楷體" w:eastAsia="標楷體" w:hAnsi="標楷體"/>
              </w:rPr>
              <w:t>一、交通部觀光局（以下簡稱本局）為審查觀光遊樂業籌設、變更申請案，依觀光遊樂業管理規則第九條第三項規定設置觀光遊樂業籌設申請案件審查小組（以下簡稱本小組）。</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pPr>
            <w:r>
              <w:rPr>
                <w:rFonts w:ascii="標楷體" w:eastAsia="標楷體" w:hAnsi="標楷體"/>
              </w:rPr>
              <w:t>配合組織改制，修正機關</w:t>
            </w:r>
            <w:r>
              <w:rPr>
                <w:rFonts w:ascii="標楷體" w:eastAsia="標楷體" w:hAnsi="標楷體"/>
              </w:rPr>
              <w:t>名稱及簡稱。</w:t>
            </w:r>
          </w:p>
        </w:tc>
      </w:tr>
      <w:tr w:rsidR="00650A10">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suppressAutoHyphens w:val="0"/>
              <w:ind w:left="480" w:hanging="480"/>
              <w:jc w:val="both"/>
            </w:pPr>
            <w:r>
              <w:rPr>
                <w:rFonts w:ascii="標楷體" w:eastAsia="標楷體" w:hAnsi="標楷體"/>
              </w:rPr>
              <w:t>三、本小組置委員十一人至十五人，其中一人為召集人，由本</w:t>
            </w:r>
            <w:r>
              <w:rPr>
                <w:rFonts w:ascii="標楷體" w:eastAsia="標楷體" w:hAnsi="標楷體"/>
                <w:u w:val="single"/>
              </w:rPr>
              <w:t>署署</w:t>
            </w:r>
            <w:r>
              <w:rPr>
                <w:rFonts w:ascii="標楷體" w:eastAsia="標楷體" w:hAnsi="標楷體"/>
              </w:rPr>
              <w:t>長指派人員兼之；必要時，得視個案性質，指派具有專家學者身分之委員擔任專案小組召集人，由本小組成員五人組成專案小組。</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suppressAutoHyphens w:val="0"/>
              <w:ind w:left="480" w:hanging="480"/>
              <w:jc w:val="both"/>
            </w:pPr>
            <w:r>
              <w:rPr>
                <w:rFonts w:ascii="標楷體" w:eastAsia="標楷體" w:hAnsi="標楷體"/>
              </w:rPr>
              <w:t>三、本小組置委員十一人至十五人，其中一人為召集人，由本局局長指派人員兼之；必要時，得視個案性質，指派具有專家學者身分之委員擔任專案小組召集人，由本小組成員五人組成專案小組。</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pPr>
            <w:r>
              <w:rPr>
                <w:rFonts w:ascii="標楷體" w:eastAsia="標楷體" w:hAnsi="標楷體"/>
              </w:rPr>
              <w:t>配合組織改制，修正機關簡稱。</w:t>
            </w:r>
          </w:p>
        </w:tc>
      </w:tr>
      <w:tr w:rsidR="00650A10">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suppressAutoHyphens w:val="0"/>
              <w:ind w:left="480" w:hanging="480"/>
              <w:jc w:val="both"/>
            </w:pPr>
            <w:r>
              <w:rPr>
                <w:rFonts w:ascii="標楷體" w:eastAsia="標楷體" w:hAnsi="標楷體"/>
              </w:rPr>
              <w:t>四、本小組除召集人外，其餘委員由本</w:t>
            </w:r>
            <w:r>
              <w:rPr>
                <w:rFonts w:ascii="標楷體" w:eastAsia="標楷體" w:hAnsi="標楷體"/>
                <w:u w:val="single"/>
              </w:rPr>
              <w:t>署署</w:t>
            </w:r>
            <w:r>
              <w:rPr>
                <w:rFonts w:ascii="標楷體" w:eastAsia="標楷體" w:hAnsi="標楷體"/>
              </w:rPr>
              <w:t>長就下列人員聘任之：</w:t>
            </w:r>
          </w:p>
          <w:p w:rsidR="00650A10" w:rsidRDefault="00F05386">
            <w:pPr>
              <w:pStyle w:val="Textbody"/>
              <w:suppressAutoHyphens w:val="0"/>
              <w:ind w:left="960" w:hanging="720"/>
              <w:jc w:val="both"/>
            </w:pPr>
            <w:r>
              <w:rPr>
                <w:rFonts w:ascii="標楷體" w:eastAsia="標楷體" w:hAnsi="標楷體"/>
              </w:rPr>
              <w:t>（一）本</w:t>
            </w:r>
            <w:r>
              <w:rPr>
                <w:rFonts w:ascii="標楷體" w:eastAsia="標楷體" w:hAnsi="標楷體"/>
                <w:u w:val="single"/>
              </w:rPr>
              <w:t>署</w:t>
            </w:r>
            <w:r>
              <w:rPr>
                <w:rFonts w:ascii="標楷體" w:eastAsia="標楷體" w:hAnsi="標楷體"/>
              </w:rPr>
              <w:t>及個案所在地縣（市）主管觀光遊樂業之相關單位（機關）之主管（首長）四人至六人。</w:t>
            </w:r>
          </w:p>
          <w:p w:rsidR="00650A10" w:rsidRDefault="00F05386">
            <w:pPr>
              <w:pStyle w:val="Textbody"/>
              <w:suppressAutoHyphens w:val="0"/>
              <w:ind w:left="960" w:hanging="720"/>
              <w:jc w:val="both"/>
              <w:rPr>
                <w:rFonts w:ascii="標楷體" w:eastAsia="標楷體" w:hAnsi="標楷體"/>
              </w:rPr>
            </w:pPr>
            <w:r>
              <w:rPr>
                <w:rFonts w:ascii="標楷體" w:eastAsia="標楷體" w:hAnsi="標楷體"/>
              </w:rPr>
              <w:t>（二）具有產業分析、規劃設計、經營管理及財務管理等專門學識經驗之專家學者六人至八人。</w:t>
            </w:r>
          </w:p>
          <w:p w:rsidR="00650A10" w:rsidRDefault="00F05386">
            <w:pPr>
              <w:pStyle w:val="Textbody"/>
              <w:suppressAutoHyphens w:val="0"/>
              <w:ind w:left="480" w:firstLine="480"/>
              <w:jc w:val="both"/>
            </w:pPr>
            <w:r>
              <w:rPr>
                <w:rFonts w:ascii="標楷體" w:eastAsia="標楷體" w:hAnsi="標楷體"/>
              </w:rPr>
              <w:t>前項委員名額分配，其中專家學者不</w:t>
            </w:r>
            <w:r>
              <w:rPr>
                <w:rFonts w:ascii="標楷體" w:eastAsia="標楷體" w:hAnsi="標楷體"/>
              </w:rPr>
              <w:lastRenderedPageBreak/>
              <w:t>得少於委員總數三分之一。</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suppressAutoHyphens w:val="0"/>
              <w:ind w:left="480" w:hanging="480"/>
              <w:jc w:val="both"/>
              <w:rPr>
                <w:rFonts w:ascii="標楷體" w:eastAsia="標楷體" w:hAnsi="標楷體"/>
              </w:rPr>
            </w:pPr>
            <w:r>
              <w:rPr>
                <w:rFonts w:ascii="標楷體" w:eastAsia="標楷體" w:hAnsi="標楷體"/>
              </w:rPr>
              <w:lastRenderedPageBreak/>
              <w:t>四、本小組除召集人外，其餘委員由本局局長就下列人員聘任之：</w:t>
            </w:r>
          </w:p>
          <w:p w:rsidR="00650A10" w:rsidRDefault="00F05386">
            <w:pPr>
              <w:pStyle w:val="Textbody"/>
              <w:suppressAutoHyphens w:val="0"/>
              <w:ind w:left="960" w:hanging="720"/>
              <w:jc w:val="both"/>
              <w:rPr>
                <w:rFonts w:ascii="標楷體" w:eastAsia="標楷體" w:hAnsi="標楷體"/>
              </w:rPr>
            </w:pPr>
            <w:r>
              <w:rPr>
                <w:rFonts w:ascii="標楷體" w:eastAsia="標楷體" w:hAnsi="標楷體"/>
              </w:rPr>
              <w:t>（一）本局及個案所在地縣（市）主管觀光遊樂業之相關單位（機關）之主管（首長）四人至六人。</w:t>
            </w:r>
          </w:p>
          <w:p w:rsidR="00650A10" w:rsidRDefault="00F05386">
            <w:pPr>
              <w:pStyle w:val="Textbody"/>
              <w:suppressAutoHyphens w:val="0"/>
              <w:ind w:left="960" w:hanging="720"/>
              <w:jc w:val="both"/>
              <w:rPr>
                <w:rFonts w:ascii="標楷體" w:eastAsia="標楷體" w:hAnsi="標楷體"/>
              </w:rPr>
            </w:pPr>
            <w:r>
              <w:rPr>
                <w:rFonts w:ascii="標楷體" w:eastAsia="標楷體" w:hAnsi="標楷體"/>
              </w:rPr>
              <w:t>（二）具有產業分析、規劃設計、經營管理及財務管理等專門學識經驗之專家學者六人至八人。</w:t>
            </w:r>
          </w:p>
          <w:p w:rsidR="00650A10" w:rsidRDefault="00F05386">
            <w:pPr>
              <w:pStyle w:val="Textbody"/>
              <w:suppressAutoHyphens w:val="0"/>
              <w:ind w:left="480" w:firstLine="480"/>
              <w:jc w:val="both"/>
            </w:pPr>
            <w:r>
              <w:rPr>
                <w:rFonts w:ascii="標楷體" w:eastAsia="標楷體" w:hAnsi="標楷體"/>
              </w:rPr>
              <w:t>前項委員名額分配，其中專家學者不</w:t>
            </w:r>
            <w:r>
              <w:rPr>
                <w:rFonts w:ascii="標楷體" w:eastAsia="標楷體" w:hAnsi="標楷體"/>
              </w:rPr>
              <w:lastRenderedPageBreak/>
              <w:t>得少於委員總數三分</w:t>
            </w:r>
            <w:r>
              <w:rPr>
                <w:rFonts w:ascii="標楷體" w:eastAsia="標楷體" w:hAnsi="標楷體"/>
              </w:rPr>
              <w:t>之一。</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pPr>
            <w:r>
              <w:rPr>
                <w:rFonts w:ascii="標楷體" w:eastAsia="標楷體" w:hAnsi="標楷體"/>
              </w:rPr>
              <w:lastRenderedPageBreak/>
              <w:t>配合組織改制，修正機關簡稱。</w:t>
            </w:r>
          </w:p>
        </w:tc>
      </w:tr>
      <w:tr w:rsidR="00650A10">
        <w:tblPrEx>
          <w:tblCellMar>
            <w:top w:w="0" w:type="dxa"/>
            <w:bottom w:w="0" w:type="dxa"/>
          </w:tblCellMar>
        </w:tblPrEx>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suppressAutoHyphens w:val="0"/>
              <w:ind w:left="480" w:hanging="480"/>
              <w:jc w:val="both"/>
            </w:pPr>
            <w:r>
              <w:rPr>
                <w:rFonts w:ascii="標楷體" w:eastAsia="標楷體" w:hAnsi="標楷體"/>
              </w:rPr>
              <w:t>六、本小組置執行秘書一人，由本</w:t>
            </w:r>
            <w:r>
              <w:rPr>
                <w:rFonts w:ascii="標楷體" w:eastAsia="標楷體" w:hAnsi="標楷體"/>
                <w:u w:val="single"/>
              </w:rPr>
              <w:t>署</w:t>
            </w:r>
            <w:r>
              <w:rPr>
                <w:rFonts w:ascii="標楷體" w:eastAsia="標楷體" w:hAnsi="標楷體"/>
              </w:rPr>
              <w:t>業務主管兼任，承召集人之命，辦理本小組有關事務。另所需工作人員，由本</w:t>
            </w:r>
            <w:r>
              <w:rPr>
                <w:rFonts w:ascii="標楷體" w:eastAsia="標楷體" w:hAnsi="標楷體"/>
                <w:u w:val="single"/>
              </w:rPr>
              <w:t>署</w:t>
            </w:r>
            <w:r>
              <w:rPr>
                <w:rFonts w:ascii="標楷體" w:eastAsia="標楷體" w:hAnsi="標楷體"/>
              </w:rPr>
              <w:t>承辦有關業務人員派兼之。</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suppressAutoHyphens w:val="0"/>
              <w:ind w:left="480" w:hanging="480"/>
              <w:jc w:val="both"/>
              <w:rPr>
                <w:rFonts w:ascii="標楷體" w:eastAsia="標楷體" w:hAnsi="標楷體"/>
              </w:rPr>
            </w:pPr>
            <w:r>
              <w:rPr>
                <w:rFonts w:ascii="標楷體" w:eastAsia="標楷體" w:hAnsi="標楷體"/>
              </w:rPr>
              <w:t>六、本小組置執行秘書一人，由本局業務主管兼任，承召集人之命，辦理本小組有關事務。另所需工作人員，由本局承辦有關業務人員派兼之。</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A10" w:rsidRDefault="00F05386">
            <w:pPr>
              <w:pStyle w:val="Textbody"/>
            </w:pPr>
            <w:r>
              <w:rPr>
                <w:rFonts w:ascii="標楷體" w:eastAsia="標楷體" w:hAnsi="標楷體"/>
              </w:rPr>
              <w:t>配合組織改制，修正機關簡稱。</w:t>
            </w:r>
          </w:p>
        </w:tc>
      </w:tr>
    </w:tbl>
    <w:p w:rsidR="00650A10" w:rsidRDefault="00650A10">
      <w:pPr>
        <w:pStyle w:val="Textbody"/>
        <w:widowControl/>
        <w:suppressAutoHyphens w:val="0"/>
        <w:rPr>
          <w:rFonts w:ascii="標楷體" w:eastAsia="標楷體" w:hAnsi="標楷體"/>
          <w:sz w:val="28"/>
          <w:szCs w:val="36"/>
        </w:rPr>
      </w:pPr>
    </w:p>
    <w:sectPr w:rsidR="00650A10">
      <w:pgSz w:w="11906" w:h="16838"/>
      <w:pgMar w:top="1418" w:right="1418" w:bottom="1418" w:left="1701"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05386">
      <w:r>
        <w:separator/>
      </w:r>
    </w:p>
  </w:endnote>
  <w:endnote w:type="continuationSeparator" w:id="0">
    <w:p w:rsidR="00000000" w:rsidRDefault="00F0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05386">
      <w:r>
        <w:rPr>
          <w:color w:val="000000"/>
        </w:rPr>
        <w:separator/>
      </w:r>
    </w:p>
  </w:footnote>
  <w:footnote w:type="continuationSeparator" w:id="0">
    <w:p w:rsidR="00000000" w:rsidRDefault="00F05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50A10"/>
    <w:rsid w:val="00650A10"/>
    <w:rsid w:val="00F05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044F3-7293-48AF-AC42-EBC2F4B7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eastAsia="Times New Roman" w:hAnsi="Times New Roman"/>
      <w:szCs w:val="24"/>
    </w:rPr>
  </w:style>
  <w:style w:type="paragraph" w:styleId="a3">
    <w:name w:val="List Paragraph"/>
    <w:basedOn w:val="Textbody"/>
    <w:pPr>
      <w:ind w:left="480"/>
    </w:pPr>
  </w:style>
  <w:style w:type="paragraph" w:styleId="a4">
    <w:name w:val="Body Text"/>
    <w:basedOn w:val="Textbody"/>
    <w:pPr>
      <w:snapToGrid w:val="0"/>
    </w:pPr>
    <w:rPr>
      <w:rFonts w:ascii="標楷體" w:eastAsia="標楷體" w:hAnsi="標楷體" w:cs="標楷體"/>
      <w:b/>
      <w:color w:val="000000"/>
      <w:kern w:val="0"/>
      <w:sz w:val="32"/>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Date"/>
    <w:basedOn w:val="Textbody"/>
    <w:next w:val="Textbody"/>
    <w:pPr>
      <w:jc w:val="right"/>
    </w:pPr>
  </w:style>
  <w:style w:type="paragraph" w:customStyle="1" w:styleId="TableContents">
    <w:name w:val="Table Contents"/>
    <w:basedOn w:val="Standard"/>
    <w:pPr>
      <w:widowControl w:val="0"/>
      <w:suppressLineNumbers/>
    </w:pPr>
  </w:style>
  <w:style w:type="character" w:customStyle="1" w:styleId="a8">
    <w:name w:val="本文 字元"/>
    <w:basedOn w:val="a0"/>
    <w:rPr>
      <w:rFonts w:ascii="標楷體" w:eastAsia="標楷體" w:hAnsi="標楷體" w:cs="標楷體"/>
      <w:b/>
      <w:color w:val="000000"/>
      <w:kern w:val="0"/>
      <w:sz w:val="32"/>
      <w:szCs w:val="24"/>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日期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詹翌羚</dc:creator>
  <dc:description/>
  <cp:lastModifiedBy>劉騏銘</cp:lastModifiedBy>
  <cp:revision>1</cp:revision>
  <dcterms:created xsi:type="dcterms:W3CDTF">2023-11-29T03:01:00Z</dcterms:created>
  <dcterms:modified xsi:type="dcterms:W3CDTF">2024-01-10T09:43:00Z</dcterms:modified>
</cp:coreProperties>
</file>