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7A" w:rsidRPr="005469DC" w:rsidRDefault="003D7981" w:rsidP="00DE2ADE">
      <w:pPr>
        <w:pStyle w:val="Standard"/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r w:rsidRPr="005469DC">
        <w:rPr>
          <w:rFonts w:eastAsia="標楷體"/>
          <w:b/>
          <w:color w:val="000000" w:themeColor="text1"/>
          <w:sz w:val="36"/>
          <w:szCs w:val="36"/>
        </w:rPr>
        <w:t>Directions for Fly-cruise Incentives from the Taiwan Tourism Bureau</w:t>
      </w:r>
    </w:p>
    <w:bookmarkEnd w:id="0"/>
    <w:p w:rsidR="009A187A" w:rsidRPr="00DE2ADE" w:rsidRDefault="003D7981" w:rsidP="00DE2ADE">
      <w:pPr>
        <w:pStyle w:val="Standard"/>
        <w:spacing w:line="500" w:lineRule="exact"/>
        <w:ind w:left="573" w:hanging="434"/>
        <w:jc w:val="both"/>
        <w:rPr>
          <w:rFonts w:eastAsia="標楷體"/>
          <w:color w:val="000000" w:themeColor="text1"/>
          <w:sz w:val="28"/>
          <w:szCs w:val="28"/>
        </w:rPr>
      </w:pPr>
      <w:r w:rsidRPr="00DE2ADE">
        <w:rPr>
          <w:rFonts w:eastAsia="標楷體"/>
          <w:color w:val="000000" w:themeColor="text1"/>
          <w:sz w:val="28"/>
          <w:szCs w:val="28"/>
        </w:rPr>
        <w:t>1.</w:t>
      </w:r>
      <w:r w:rsidRPr="00DE2ADE">
        <w:rPr>
          <w:rFonts w:eastAsia="標楷體"/>
          <w:color w:val="000000" w:themeColor="text1"/>
          <w:sz w:val="28"/>
          <w:szCs w:val="28"/>
        </w:rPr>
        <w:tab/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Th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is summary of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 Fly-cruise Incentives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provided by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 the Taiwan Tourism Bureau is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meant 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to promote Taiwan’s fly-cruise development by encouraging international cruise lines that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offer package 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flights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/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cruises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 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to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include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 Taiwan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and its ports in their 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global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itineraries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.</w:t>
      </w:r>
    </w:p>
    <w:p w:rsidR="009A187A" w:rsidRPr="00DE2ADE" w:rsidRDefault="003D7981" w:rsidP="00DE2ADE">
      <w:pPr>
        <w:pStyle w:val="Standard"/>
        <w:spacing w:beforeLines="50" w:before="197" w:line="500" w:lineRule="exact"/>
        <w:ind w:left="538" w:hanging="442"/>
        <w:jc w:val="both"/>
        <w:rPr>
          <w:rFonts w:eastAsia="標楷體"/>
          <w:color w:val="000000" w:themeColor="text1"/>
          <w:sz w:val="28"/>
          <w:szCs w:val="28"/>
          <w:lang w:eastAsia="zh-CN" w:bidi="hi-IN"/>
        </w:rPr>
      </w:pPr>
      <w:r w:rsidRPr="00DE2ADE">
        <w:rPr>
          <w:rFonts w:eastAsia="標楷體"/>
          <w:color w:val="000000" w:themeColor="text1"/>
          <w:sz w:val="28"/>
          <w:szCs w:val="28"/>
        </w:rPr>
        <w:t>2.</w:t>
      </w:r>
      <w:r w:rsidRPr="00DE2ADE">
        <w:rPr>
          <w:rFonts w:eastAsia="標楷體"/>
          <w:color w:val="000000" w:themeColor="text1"/>
          <w:sz w:val="28"/>
          <w:szCs w:val="28"/>
        </w:rPr>
        <w:tab/>
      </w:r>
      <w:r w:rsidR="007068FB" w:rsidRPr="00DE2ADE">
        <w:rPr>
          <w:rFonts w:eastAsia="標楷體"/>
          <w:color w:val="000000" w:themeColor="text1"/>
          <w:sz w:val="28"/>
          <w:szCs w:val="28"/>
        </w:rPr>
        <w:t>Target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 of the incentives: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Foreign-registered c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ruise companies (including </w:t>
      </w:r>
      <w:r w:rsidR="005569DF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those in 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Mainland China, Hong Kong and Macau).</w:t>
      </w:r>
    </w:p>
    <w:p w:rsidR="009A187A" w:rsidRPr="00DE2ADE" w:rsidRDefault="003D7981" w:rsidP="00DE2ADE">
      <w:pPr>
        <w:numPr>
          <w:ilvl w:val="0"/>
          <w:numId w:val="19"/>
        </w:numPr>
        <w:suppressAutoHyphens w:val="0"/>
        <w:spacing w:beforeLines="50" w:before="197"/>
        <w:ind w:left="572" w:hanging="476"/>
        <w:jc w:val="both"/>
        <w:textAlignment w:val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Definitions:</w:t>
      </w:r>
    </w:p>
    <w:p w:rsidR="009A187A" w:rsidRPr="00DE2ADE" w:rsidRDefault="003D7981" w:rsidP="00DE2ADE">
      <w:pPr>
        <w:ind w:left="57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Cruise ship: A multi-purpose passenger ship with </w:t>
      </w:r>
      <w:r w:rsidR="005569DF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functions that include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transport, accommodation</w:t>
      </w:r>
      <w:r w:rsidR="005569DF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, catering and leisure </w:t>
      </w:r>
      <w:r w:rsidR="005569DF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activities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.</w:t>
      </w:r>
    </w:p>
    <w:p w:rsidR="009A187A" w:rsidRPr="00DE2ADE" w:rsidRDefault="003D7981" w:rsidP="00DE2ADE">
      <w:pPr>
        <w:ind w:left="57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Fly-cruise: A travel mode that combines flight and cruise.</w:t>
      </w:r>
    </w:p>
    <w:p w:rsidR="009A187A" w:rsidRPr="00DE2ADE" w:rsidRDefault="003D7981" w:rsidP="00DE2ADE">
      <w:pPr>
        <w:ind w:left="574"/>
        <w:jc w:val="both"/>
        <w:rPr>
          <w:color w:val="000000" w:themeColor="text1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Fly-cruise passengers:</w:t>
      </w:r>
      <w:r w:rsidRPr="00DE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Passengers from foreign countries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(including Mainland China, Hong Kong and Macau) who travel by using a combination of aircraft and cruise liners.</w:t>
      </w:r>
    </w:p>
    <w:p w:rsidR="009A187A" w:rsidRPr="00DE2ADE" w:rsidRDefault="003D7981" w:rsidP="00DE2ADE">
      <w:pPr>
        <w:pStyle w:val="aff8"/>
        <w:numPr>
          <w:ilvl w:val="0"/>
          <w:numId w:val="19"/>
        </w:numPr>
        <w:spacing w:beforeLines="100" w:before="394"/>
        <w:ind w:left="555" w:hanging="35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Conditions and criteria for incentives: </w:t>
      </w:r>
    </w:p>
    <w:p w:rsidR="005569DF" w:rsidRPr="00DE2ADE" w:rsidRDefault="003D7981" w:rsidP="00DE2ADE">
      <w:pPr>
        <w:ind w:left="57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 xml:space="preserve">4.1 </w:t>
      </w:r>
      <w:r w:rsidR="002641A5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 xml:space="preserve">To provide an incentive to fly-cruise companies to include Taiwan on their itineraries,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 xml:space="preserve">one program is that </w:t>
      </w:r>
      <w:r w:rsidR="002641A5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such companies may be eligible to receive US$10 per person for each passenger who disembarks in Taiwan during an international cruise.</w:t>
      </w:r>
    </w:p>
    <w:p w:rsidR="009A187A" w:rsidRPr="00DE2ADE" w:rsidRDefault="003D7981" w:rsidP="00DE2ADE">
      <w:pPr>
        <w:spacing w:beforeLines="50" w:before="197"/>
        <w:ind w:left="573"/>
        <w:jc w:val="both"/>
        <w:rPr>
          <w:color w:val="000000" w:themeColor="text1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 xml:space="preserve">4.2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 xml:space="preserve">A second program applies to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cruise lines with a fly-cruise schedule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that includes a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layover in Taiwan of 48 hours or more.</w:t>
      </w:r>
    </w:p>
    <w:p w:rsidR="009A187A" w:rsidRPr="00DE2ADE" w:rsidRDefault="003D7981" w:rsidP="00DE2ADE">
      <w:pPr>
        <w:ind w:left="57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Each passenger shall be subsidized </w:t>
      </w:r>
      <w:r w:rsidR="002641A5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as follows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9A187A" w:rsidRPr="00DE2ADE" w:rsidRDefault="003D7981" w:rsidP="00DE2ADE">
      <w:pPr>
        <w:ind w:left="57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US</w:t>
      </w:r>
      <w:r w:rsidR="002641A5" w:rsidRPr="00DE2AD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  <w:t>$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 for groups of over 300 fly-cruise passengers entering Taiwan.</w:t>
      </w:r>
    </w:p>
    <w:p w:rsidR="009A187A" w:rsidRPr="00DE2ADE" w:rsidRDefault="003D7981" w:rsidP="00DE2ADE">
      <w:pPr>
        <w:ind w:left="574"/>
        <w:jc w:val="both"/>
        <w:rPr>
          <w:color w:val="000000" w:themeColor="text1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US</w:t>
      </w:r>
      <w:r w:rsidR="002641A5" w:rsidRPr="00DE2AD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  <w:t>$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50 for groups of over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5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00 fly-cruise passengers entering Taiwan. </w:t>
      </w:r>
    </w:p>
    <w:p w:rsidR="009A187A" w:rsidRPr="00DE2ADE" w:rsidRDefault="003D7981" w:rsidP="00DE2ADE">
      <w:pPr>
        <w:ind w:left="574"/>
        <w:jc w:val="both"/>
        <w:rPr>
          <w:color w:val="000000" w:themeColor="text1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US</w:t>
      </w:r>
      <w:r w:rsidR="002641A5" w:rsidRPr="00DE2AD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  <w:t>$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7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0 for groups of over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7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00 fly-cruise passengers entering Taiwan. </w:t>
      </w:r>
    </w:p>
    <w:p w:rsidR="009A187A" w:rsidRPr="00DE2ADE" w:rsidRDefault="003D7981" w:rsidP="00DE2ADE">
      <w:pPr>
        <w:spacing w:beforeLines="50" w:before="197"/>
        <w:ind w:left="57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 xml:space="preserve">4.3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Only one of the above two programs can be chosen for any single cruise. Multiple applications for the same cruise are not permitted.</w:t>
      </w:r>
    </w:p>
    <w:p w:rsidR="009A187A" w:rsidRPr="00DE2ADE" w:rsidRDefault="003D7981" w:rsidP="00DE2ADE">
      <w:pPr>
        <w:pStyle w:val="Standard"/>
        <w:numPr>
          <w:ilvl w:val="0"/>
          <w:numId w:val="19"/>
        </w:numPr>
        <w:spacing w:line="500" w:lineRule="exact"/>
        <w:ind w:hanging="178"/>
        <w:jc w:val="both"/>
        <w:rPr>
          <w:rFonts w:eastAsia="標楷體"/>
          <w:color w:val="000000" w:themeColor="text1"/>
          <w:sz w:val="28"/>
          <w:szCs w:val="28"/>
        </w:rPr>
      </w:pPr>
      <w:r w:rsidRPr="00DE2ADE">
        <w:rPr>
          <w:rFonts w:eastAsia="標楷體"/>
          <w:color w:val="000000" w:themeColor="text1"/>
          <w:sz w:val="28"/>
          <w:szCs w:val="28"/>
        </w:rPr>
        <w:t>Application and reimbursement procedures:</w:t>
      </w:r>
    </w:p>
    <w:p w:rsidR="009A187A" w:rsidRPr="00DE2ADE" w:rsidRDefault="003D7981" w:rsidP="00DE2ADE">
      <w:pPr>
        <w:ind w:left="480"/>
        <w:jc w:val="both"/>
        <w:rPr>
          <w:rFonts w:ascii="Times New Roman" w:hAnsi="Times New Roman" w:cs="Times New Roman"/>
          <w:color w:val="000000" w:themeColor="text1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5.1 Cruise lines shall comply with Taiwan’s Commercial Port Act,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 xml:space="preserve">Navigation Business Act, and Ships Act in applying for permission to enter and leave Taiwan’s ports. </w:t>
      </w:r>
    </w:p>
    <w:p w:rsidR="009A187A" w:rsidRPr="00DE2ADE" w:rsidRDefault="003D7981" w:rsidP="00DE2ADE">
      <w:pPr>
        <w:spacing w:beforeLines="50" w:before="197"/>
        <w:ind w:left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5.2 Upon completion of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 cruise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,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cruise compan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y or its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agent shall, within four month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of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the date of the last ship-call in Taiwan, submit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the following to the Tourism Bureau for review and approval: passenger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flight details, invoices from cruise lines, documents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that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includ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a name list of the qualified applicants, the total number of applicants, and related schedule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information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. (See Appendix 2).</w:t>
      </w:r>
    </w:p>
    <w:p w:rsidR="00DE2ADE" w:rsidRPr="00DE2ADE" w:rsidRDefault="003D7981" w:rsidP="00DE2ADE">
      <w:pPr>
        <w:spacing w:beforeLines="50" w:before="197"/>
        <w:ind w:left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5.3 Those eligible for subsidies must submit applications and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required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supporting materials 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by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the deadline</w:t>
      </w:r>
      <w:r w:rsidR="007068F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above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.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Applications and other document submissions will not be accepted after the deadline, and subsidy payments will not be made in such cases.</w:t>
      </w:r>
    </w:p>
    <w:p w:rsidR="00DE2ADE" w:rsidRPr="00DE2ADE" w:rsidRDefault="003D7981" w:rsidP="00DE2ADE">
      <w:pPr>
        <w:spacing w:beforeLines="50" w:before="197"/>
        <w:ind w:left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5.4 Cruise operators that wish to apply for a subsidy must complete their ship-calls in Taiwan prior to December 31, 2025.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Subsidy calculations will be based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on actual entry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dates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,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dates during which a ship was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moor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ed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at Taiwan’s ports for 48 hours or more, and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the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total number of fly-cruise passengers. Once approved, subsidies will be remitted directly into the bank account nominated by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the applying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cruise compan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y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.</w:t>
      </w:r>
    </w:p>
    <w:p w:rsidR="009A187A" w:rsidRPr="00DE2ADE" w:rsidRDefault="003D7981" w:rsidP="00DE2ADE">
      <w:pPr>
        <w:spacing w:beforeLines="50" w:before="197"/>
        <w:ind w:left="48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5.5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Applications must be made within four months of the end of a cruise. Therefore, the last date for submissions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is April 30, 2026.</w:t>
      </w:r>
    </w:p>
    <w:p w:rsidR="009A187A" w:rsidRPr="00DE2ADE" w:rsidRDefault="003D7981" w:rsidP="00DE2ADE">
      <w:pPr>
        <w:numPr>
          <w:ilvl w:val="0"/>
          <w:numId w:val="20"/>
        </w:numPr>
        <w:suppressAutoHyphens w:val="0"/>
        <w:spacing w:beforeLines="100" w:before="394"/>
        <w:ind w:left="357" w:hanging="357"/>
        <w:jc w:val="both"/>
        <w:textAlignment w:val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Source of funds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and budget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: </w:t>
      </w:r>
    </w:p>
    <w:p w:rsidR="009A187A" w:rsidRPr="00DE2ADE" w:rsidRDefault="003D7981" w:rsidP="00DE2ADE">
      <w:pPr>
        <w:pStyle w:val="Standard"/>
        <w:spacing w:line="500" w:lineRule="exact"/>
        <w:ind w:leftChars="157" w:left="377" w:firstLine="1"/>
        <w:jc w:val="both"/>
        <w:rPr>
          <w:rFonts w:eastAsia="標楷體"/>
          <w:b/>
          <w:color w:val="000000" w:themeColor="text1"/>
          <w:sz w:val="28"/>
          <w:szCs w:val="28"/>
          <w:lang w:eastAsia="zh-CN" w:bidi="hi-IN"/>
        </w:rPr>
      </w:pP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The </w:t>
      </w:r>
      <w:r w:rsidR="00194FE0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Tourism Bureau’s tourism development budget is the 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source of funds for the subsidies and the costs of running this program. </w:t>
      </w:r>
      <w:r w:rsidR="00194FE0"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>S</w:t>
      </w:r>
      <w:r w:rsidRPr="00DE2ADE">
        <w:rPr>
          <w:rFonts w:eastAsia="標楷體"/>
          <w:color w:val="000000" w:themeColor="text1"/>
          <w:sz w:val="28"/>
          <w:szCs w:val="28"/>
          <w:lang w:eastAsia="zh-CN" w:bidi="hi-IN"/>
        </w:rPr>
        <w:t xml:space="preserve">ubsidies shall be granted on a first-come, first-served basis. </w:t>
      </w:r>
      <w:r w:rsidR="00194FE0" w:rsidRPr="00DE2ADE">
        <w:rPr>
          <w:rFonts w:eastAsia="標楷體"/>
          <w:b/>
          <w:color w:val="000000" w:themeColor="text1"/>
          <w:sz w:val="28"/>
          <w:szCs w:val="28"/>
          <w:lang w:eastAsia="zh-CN" w:bidi="hi-IN"/>
        </w:rPr>
        <w:t>Applications for subsidies each year will not be accepted after the annual budget for this program has been expended.</w:t>
      </w:r>
    </w:p>
    <w:p w:rsidR="009A187A" w:rsidRPr="00DE2ADE" w:rsidRDefault="003D7981" w:rsidP="00DE2ADE">
      <w:pPr>
        <w:pStyle w:val="Standard"/>
        <w:spacing w:beforeLines="50" w:before="197" w:line="500" w:lineRule="exact"/>
        <w:ind w:left="68" w:hanging="45"/>
        <w:jc w:val="both"/>
        <w:rPr>
          <w:rFonts w:eastAsia="標楷體"/>
          <w:color w:val="000000" w:themeColor="text1"/>
          <w:sz w:val="28"/>
          <w:szCs w:val="28"/>
        </w:rPr>
      </w:pPr>
      <w:r w:rsidRPr="00DE2ADE">
        <w:rPr>
          <w:rFonts w:eastAsia="標楷體"/>
          <w:color w:val="000000" w:themeColor="text1"/>
          <w:sz w:val="28"/>
          <w:szCs w:val="28"/>
        </w:rPr>
        <w:t xml:space="preserve">7. Supervision and inspection: </w:t>
      </w:r>
    </w:p>
    <w:p w:rsidR="009A187A" w:rsidRPr="00DE2ADE" w:rsidRDefault="003D7981" w:rsidP="00DE2ADE">
      <w:pPr>
        <w:ind w:left="285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The </w:t>
      </w:r>
      <w:r w:rsidR="00194FE0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Tourism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Bureau is responsible for supervising all applications for fly-cruise subsides. </w:t>
      </w:r>
      <w:r w:rsidR="002A424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In cases of f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alse reporting or inflat</w:t>
      </w:r>
      <w:r w:rsidR="002A424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ing the length of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stay in Taiwan will necessitate the return by the cruise company of the relevant 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 xml:space="preserve">portion of the subsidy received, </w:t>
      </w:r>
      <w:r w:rsidR="002A424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and will also result in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a one-year-suspension </w:t>
      </w:r>
      <w:r w:rsidR="002A424B"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from</w:t>
      </w:r>
      <w:r w:rsidRPr="00DE2AD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subsidization.</w:t>
      </w:r>
    </w:p>
    <w:p w:rsidR="009A187A" w:rsidRPr="00DE2ADE" w:rsidRDefault="009A187A" w:rsidP="00DE2ADE">
      <w:pPr>
        <w:pStyle w:val="Standard"/>
        <w:spacing w:line="500" w:lineRule="exact"/>
        <w:ind w:left="567"/>
        <w:jc w:val="both"/>
        <w:rPr>
          <w:color w:val="000000" w:themeColor="text1"/>
        </w:rPr>
      </w:pPr>
    </w:p>
    <w:sectPr w:rsidR="009A187A" w:rsidRPr="00DE2ADE">
      <w:footerReference w:type="default" r:id="rId7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BC" w:rsidRDefault="008250BC">
      <w:r>
        <w:separator/>
      </w:r>
    </w:p>
  </w:endnote>
  <w:endnote w:type="continuationSeparator" w:id="0">
    <w:p w:rsidR="008250BC" w:rsidRDefault="0082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, 新細明體">
    <w:charset w:val="00"/>
    <w:family w:val="modern"/>
    <w:pitch w:val="default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華康中明體, 新細明體">
    <w:charset w:val="00"/>
    <w:family w:val="modern"/>
    <w:pitch w:val="default"/>
  </w:font>
  <w:font w:name="華康儷楷書">
    <w:charset w:val="00"/>
    <w:family w:val="auto"/>
    <w:pitch w:val="default"/>
  </w:font>
  <w:font w:name="華康特粗黑體">
    <w:charset w:val="00"/>
    <w:family w:val="modern"/>
    <w:pitch w:val="default"/>
  </w:font>
  <w:font w:name="華康隸書體">
    <w:charset w:val="00"/>
    <w:family w:val="modern"/>
    <w:pitch w:val="default"/>
  </w:font>
  <w:font w:name="華康標楷體W5, 新細明體"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8A" w:rsidRDefault="003D7981">
    <w:pPr>
      <w:pStyle w:val="aa"/>
      <w:numPr>
        <w:ilvl w:val="0"/>
        <w:numId w:val="17"/>
      </w:numPr>
      <w:tabs>
        <w:tab w:val="clear" w:pos="4153"/>
        <w:tab w:val="clear" w:pos="8306"/>
        <w:tab w:val="right" w:pos="9356"/>
      </w:tabs>
      <w:snapToGrid/>
      <w:spacing w:line="300" w:lineRule="atLeast"/>
      <w:ind w:right="360"/>
      <w:jc w:val="center"/>
    </w:pP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separate"/>
    </w:r>
    <w:r>
      <w:rPr>
        <w:rStyle w:val="aff2"/>
      </w:rPr>
      <w:t>2</w:t>
    </w:r>
    <w:r>
      <w:rPr>
        <w:rStyle w:val="af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BC" w:rsidRDefault="008250BC">
      <w:r>
        <w:rPr>
          <w:color w:val="000000"/>
        </w:rPr>
        <w:separator/>
      </w:r>
    </w:p>
  </w:footnote>
  <w:footnote w:type="continuationSeparator" w:id="0">
    <w:p w:rsidR="008250BC" w:rsidRDefault="0082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47D"/>
    <w:multiLevelType w:val="multilevel"/>
    <w:tmpl w:val="5FD263A6"/>
    <w:styleLink w:val="WW8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E42A6B"/>
    <w:multiLevelType w:val="multilevel"/>
    <w:tmpl w:val="E8360C54"/>
    <w:styleLink w:val="WW8Num11"/>
    <w:lvl w:ilvl="0">
      <w:start w:val="1"/>
      <w:numFmt w:val="japaneseCounting"/>
      <w:lvlText w:val="%1、"/>
      <w:lvlJc w:val="left"/>
      <w:pPr>
        <w:ind w:left="721" w:hanging="720"/>
      </w:pPr>
      <w:rPr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961" w:hanging="480"/>
      </w:pPr>
    </w:lvl>
    <w:lvl w:ilvl="2">
      <w:start w:val="1"/>
      <w:numFmt w:val="lowerRoman"/>
      <w:lvlText w:val="%3."/>
      <w:lvlJc w:val="right"/>
      <w:pPr>
        <w:ind w:left="1441" w:hanging="480"/>
      </w:pPr>
    </w:lvl>
    <w:lvl w:ilvl="3">
      <w:start w:val="1"/>
      <w:numFmt w:val="decimal"/>
      <w:lvlText w:val="%4."/>
      <w:lvlJc w:val="left"/>
      <w:pPr>
        <w:ind w:left="1921" w:hanging="480"/>
      </w:pPr>
    </w:lvl>
    <w:lvl w:ilvl="4">
      <w:start w:val="1"/>
      <w:numFmt w:val="ideographTraditional"/>
      <w:lvlText w:val="%5、"/>
      <w:lvlJc w:val="left"/>
      <w:pPr>
        <w:ind w:left="2401" w:hanging="480"/>
      </w:pPr>
    </w:lvl>
    <w:lvl w:ilvl="5">
      <w:start w:val="1"/>
      <w:numFmt w:val="lowerRoman"/>
      <w:lvlText w:val="%6."/>
      <w:lvlJc w:val="right"/>
      <w:pPr>
        <w:ind w:left="2881" w:hanging="480"/>
      </w:pPr>
    </w:lvl>
    <w:lvl w:ilvl="6">
      <w:start w:val="1"/>
      <w:numFmt w:val="decimal"/>
      <w:lvlText w:val="%7."/>
      <w:lvlJc w:val="left"/>
      <w:pPr>
        <w:ind w:left="3361" w:hanging="480"/>
      </w:pPr>
    </w:lvl>
    <w:lvl w:ilvl="7">
      <w:start w:val="1"/>
      <w:numFmt w:val="ideographTraditional"/>
      <w:lvlText w:val="%8、"/>
      <w:lvlJc w:val="left"/>
      <w:pPr>
        <w:ind w:left="3841" w:hanging="480"/>
      </w:pPr>
    </w:lvl>
    <w:lvl w:ilvl="8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09C27BD6"/>
    <w:multiLevelType w:val="multilevel"/>
    <w:tmpl w:val="1EC007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323C6"/>
    <w:multiLevelType w:val="multilevel"/>
    <w:tmpl w:val="249CC4D6"/>
    <w:styleLink w:val="WW8Num14"/>
    <w:lvl w:ilvl="0">
      <w:start w:val="1"/>
      <w:numFmt w:val="japaneseCounting"/>
      <w:lvlText w:val="%1、"/>
      <w:lvlJc w:val="left"/>
      <w:pPr>
        <w:ind w:left="504" w:hanging="480"/>
      </w:pPr>
    </w:lvl>
    <w:lvl w:ilvl="1">
      <w:start w:val="1"/>
      <w:numFmt w:val="ideographTraditional"/>
      <w:lvlText w:val="%2、"/>
      <w:lvlJc w:val="left"/>
      <w:pPr>
        <w:ind w:left="984" w:hanging="480"/>
      </w:pPr>
    </w:lvl>
    <w:lvl w:ilvl="2">
      <w:start w:val="1"/>
      <w:numFmt w:val="lowerRoman"/>
      <w:lvlText w:val="%3."/>
      <w:lvlJc w:val="right"/>
      <w:pPr>
        <w:ind w:left="1464" w:hanging="480"/>
      </w:pPr>
    </w:lvl>
    <w:lvl w:ilvl="3">
      <w:start w:val="1"/>
      <w:numFmt w:val="decimal"/>
      <w:lvlText w:val="%4."/>
      <w:lvlJc w:val="left"/>
      <w:pPr>
        <w:ind w:left="1944" w:hanging="480"/>
      </w:pPr>
    </w:lvl>
    <w:lvl w:ilvl="4">
      <w:start w:val="1"/>
      <w:numFmt w:val="ideographTraditional"/>
      <w:lvlText w:val="%5、"/>
      <w:lvlJc w:val="left"/>
      <w:pPr>
        <w:ind w:left="2424" w:hanging="480"/>
      </w:pPr>
    </w:lvl>
    <w:lvl w:ilvl="5">
      <w:start w:val="1"/>
      <w:numFmt w:val="lowerRoman"/>
      <w:lvlText w:val="%6."/>
      <w:lvlJc w:val="right"/>
      <w:pPr>
        <w:ind w:left="2904" w:hanging="480"/>
      </w:pPr>
    </w:lvl>
    <w:lvl w:ilvl="6">
      <w:start w:val="1"/>
      <w:numFmt w:val="decimal"/>
      <w:lvlText w:val="%7."/>
      <w:lvlJc w:val="left"/>
      <w:pPr>
        <w:ind w:left="3384" w:hanging="480"/>
      </w:pPr>
    </w:lvl>
    <w:lvl w:ilvl="7">
      <w:start w:val="1"/>
      <w:numFmt w:val="ideographTraditional"/>
      <w:lvlText w:val="%8、"/>
      <w:lvlJc w:val="left"/>
      <w:pPr>
        <w:ind w:left="3864" w:hanging="480"/>
      </w:pPr>
    </w:lvl>
    <w:lvl w:ilvl="8">
      <w:start w:val="1"/>
      <w:numFmt w:val="lowerRoman"/>
      <w:lvlText w:val="%9."/>
      <w:lvlJc w:val="right"/>
      <w:pPr>
        <w:ind w:left="4344" w:hanging="480"/>
      </w:pPr>
    </w:lvl>
  </w:abstractNum>
  <w:abstractNum w:abstractNumId="4" w15:restartNumberingAfterBreak="0">
    <w:nsid w:val="14BF0D27"/>
    <w:multiLevelType w:val="multilevel"/>
    <w:tmpl w:val="85D23A46"/>
    <w:styleLink w:val="WW8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F71F1A"/>
    <w:multiLevelType w:val="multilevel"/>
    <w:tmpl w:val="C8A4DC18"/>
    <w:styleLink w:val="WW8Num1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249AF"/>
    <w:multiLevelType w:val="multilevel"/>
    <w:tmpl w:val="FD0A0A94"/>
    <w:styleLink w:val="WW8Num13"/>
    <w:lvl w:ilvl="0">
      <w:start w:val="4"/>
      <w:numFmt w:val="japaneseCounting"/>
      <w:lvlText w:val="%1、"/>
      <w:lvlJc w:val="left"/>
      <w:pPr>
        <w:ind w:left="534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BF1A92"/>
    <w:multiLevelType w:val="multilevel"/>
    <w:tmpl w:val="F6F4AFFE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C54C7"/>
    <w:multiLevelType w:val="multilevel"/>
    <w:tmpl w:val="49440328"/>
    <w:styleLink w:val="WW8Num3"/>
    <w:lvl w:ilvl="0">
      <w:start w:val="1"/>
      <w:numFmt w:val="japaneseCounting"/>
      <w:lvlText w:val="(%1)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0F725FB"/>
    <w:multiLevelType w:val="multilevel"/>
    <w:tmpl w:val="7FB81E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50120C"/>
    <w:multiLevelType w:val="multilevel"/>
    <w:tmpl w:val="203AD9A4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FB1CB7"/>
    <w:multiLevelType w:val="multilevel"/>
    <w:tmpl w:val="81C4BE08"/>
    <w:styleLink w:val="WW8Num1"/>
    <w:lvl w:ilvl="0">
      <w:start w:val="1"/>
      <w:numFmt w:val="japaneseCounting"/>
      <w:lvlText w:val="%1、"/>
      <w:lvlJc w:val="left"/>
      <w:pPr>
        <w:ind w:left="504" w:hanging="480"/>
      </w:pPr>
    </w:lvl>
    <w:lvl w:ilvl="1">
      <w:start w:val="1"/>
      <w:numFmt w:val="ideographTraditional"/>
      <w:lvlText w:val="%2、"/>
      <w:lvlJc w:val="left"/>
      <w:pPr>
        <w:ind w:left="984" w:hanging="480"/>
      </w:pPr>
    </w:lvl>
    <w:lvl w:ilvl="2">
      <w:start w:val="1"/>
      <w:numFmt w:val="lowerRoman"/>
      <w:lvlText w:val="%3."/>
      <w:lvlJc w:val="right"/>
      <w:pPr>
        <w:ind w:left="1464" w:hanging="480"/>
      </w:pPr>
    </w:lvl>
    <w:lvl w:ilvl="3">
      <w:start w:val="1"/>
      <w:numFmt w:val="decimal"/>
      <w:lvlText w:val="%4."/>
      <w:lvlJc w:val="left"/>
      <w:pPr>
        <w:ind w:left="1944" w:hanging="480"/>
      </w:pPr>
    </w:lvl>
    <w:lvl w:ilvl="4">
      <w:start w:val="1"/>
      <w:numFmt w:val="ideographTraditional"/>
      <w:lvlText w:val="%5、"/>
      <w:lvlJc w:val="left"/>
      <w:pPr>
        <w:ind w:left="2424" w:hanging="480"/>
      </w:pPr>
    </w:lvl>
    <w:lvl w:ilvl="5">
      <w:start w:val="1"/>
      <w:numFmt w:val="lowerRoman"/>
      <w:lvlText w:val="%6."/>
      <w:lvlJc w:val="right"/>
      <w:pPr>
        <w:ind w:left="2904" w:hanging="480"/>
      </w:pPr>
    </w:lvl>
    <w:lvl w:ilvl="6">
      <w:start w:val="1"/>
      <w:numFmt w:val="decimal"/>
      <w:lvlText w:val="%7."/>
      <w:lvlJc w:val="left"/>
      <w:pPr>
        <w:ind w:left="3384" w:hanging="480"/>
      </w:pPr>
    </w:lvl>
    <w:lvl w:ilvl="7">
      <w:start w:val="1"/>
      <w:numFmt w:val="ideographTraditional"/>
      <w:lvlText w:val="%8、"/>
      <w:lvlJc w:val="left"/>
      <w:pPr>
        <w:ind w:left="3864" w:hanging="480"/>
      </w:pPr>
    </w:lvl>
    <w:lvl w:ilvl="8">
      <w:start w:val="1"/>
      <w:numFmt w:val="lowerRoman"/>
      <w:lvlText w:val="%9."/>
      <w:lvlJc w:val="right"/>
      <w:pPr>
        <w:ind w:left="4344" w:hanging="480"/>
      </w:pPr>
    </w:lvl>
  </w:abstractNum>
  <w:abstractNum w:abstractNumId="12" w15:restartNumberingAfterBreak="0">
    <w:nsid w:val="6D343741"/>
    <w:multiLevelType w:val="hybridMultilevel"/>
    <w:tmpl w:val="0E90F10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1C9759C"/>
    <w:multiLevelType w:val="multilevel"/>
    <w:tmpl w:val="50040862"/>
    <w:styleLink w:val="WW8Num7"/>
    <w:lvl w:ilvl="0">
      <w:start w:val="1"/>
      <w:numFmt w:val="japaneseCounting"/>
      <w:lvlText w:val="%1、"/>
      <w:lvlJc w:val="left"/>
      <w:pPr>
        <w:ind w:left="1625" w:hanging="720"/>
      </w:pPr>
    </w:lvl>
    <w:lvl w:ilvl="1">
      <w:start w:val="1"/>
      <w:numFmt w:val="ideographTradition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ideographTradition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ideographTradition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abstractNum w:abstractNumId="14" w15:restartNumberingAfterBreak="0">
    <w:nsid w:val="747F0506"/>
    <w:multiLevelType w:val="multilevel"/>
    <w:tmpl w:val="C6FEA40C"/>
    <w:styleLink w:val="WW8Num1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BF3A86"/>
    <w:multiLevelType w:val="multilevel"/>
    <w:tmpl w:val="DF80CE5A"/>
    <w:styleLink w:val="WW8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8FD554E"/>
    <w:multiLevelType w:val="multilevel"/>
    <w:tmpl w:val="CB421EA0"/>
    <w:styleLink w:val="WW8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94F2B52"/>
    <w:multiLevelType w:val="multilevel"/>
    <w:tmpl w:val="29343B4A"/>
    <w:styleLink w:val="WW8Num16"/>
    <w:lvl w:ilvl="0">
      <w:start w:val="1"/>
      <w:numFmt w:val="japaneseCounting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060C5F"/>
    <w:multiLevelType w:val="multilevel"/>
    <w:tmpl w:val="A7A26584"/>
    <w:styleLink w:val="WW8Num6"/>
    <w:lvl w:ilvl="0">
      <w:start w:val="1"/>
      <w:numFmt w:val="japaneseCounting"/>
      <w:pStyle w:val="a"/>
      <w:lvlText w:val="第%1條"/>
      <w:lvlJc w:val="left"/>
      <w:pPr>
        <w:ind w:left="1134" w:hanging="1134"/>
      </w:pPr>
      <w:rPr>
        <w:rFonts w:ascii="標楷體" w:eastAsia="標楷體" w:hAnsi="標楷體" w:cs="Palatino Linotype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8"/>
        <w:u w:val="none"/>
        <w:vertAlign w:val="baseline"/>
        <w:em w:val="none"/>
      </w:rPr>
    </w:lvl>
    <w:lvl w:ilvl="1">
      <w:start w:val="1"/>
      <w:numFmt w:val="japaneseCounting"/>
      <w:lvlText w:val="%2、"/>
      <w:lvlJc w:val="left"/>
      <w:pPr>
        <w:ind w:left="1758" w:hanging="596"/>
      </w:pPr>
      <w:rPr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8"/>
        <w:u w:val="none"/>
        <w:vertAlign w:val="baseline"/>
        <w:em w:val="none"/>
      </w:rPr>
    </w:lvl>
    <w:lvl w:ilvl="2">
      <w:start w:val="1"/>
      <w:numFmt w:val="japaneseCounting"/>
      <w:lvlText w:val="(%3)"/>
      <w:lvlJc w:val="right"/>
      <w:pPr>
        <w:ind w:left="2642" w:hanging="231"/>
      </w:pPr>
      <w:rPr>
        <w:rFonts w:cs="Palatino Linotype"/>
      </w:rPr>
    </w:lvl>
    <w:lvl w:ilvl="3">
      <w:start w:val="1"/>
      <w:numFmt w:val="decimal"/>
      <w:lvlText w:val="%4."/>
      <w:lvlJc w:val="left"/>
      <w:pPr>
        <w:ind w:left="964" w:hanging="340"/>
      </w:pPr>
      <w:rPr>
        <w:rFonts w:cs="Palatino Linotype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Palatino Linotyp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Palatino Linotyp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Palatino Linotyp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Palatino Linotyp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Palatino Linotype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0"/>
  </w:num>
  <w:num w:numId="5">
    <w:abstractNumId w:val="4"/>
  </w:num>
  <w:num w:numId="6">
    <w:abstractNumId w:val="18"/>
  </w:num>
  <w:num w:numId="7">
    <w:abstractNumId w:val="13"/>
  </w:num>
  <w:num w:numId="8">
    <w:abstractNumId w:val="15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3"/>
  </w:num>
  <w:num w:numId="15">
    <w:abstractNumId w:val="14"/>
  </w:num>
  <w:num w:numId="16">
    <w:abstractNumId w:val="17"/>
  </w:num>
  <w:num w:numId="17">
    <w:abstractNumId w:val="4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2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7A"/>
    <w:rsid w:val="00005D46"/>
    <w:rsid w:val="00194FE0"/>
    <w:rsid w:val="002641A5"/>
    <w:rsid w:val="002A424B"/>
    <w:rsid w:val="00340A62"/>
    <w:rsid w:val="003D7981"/>
    <w:rsid w:val="005469DC"/>
    <w:rsid w:val="005569DF"/>
    <w:rsid w:val="00564E19"/>
    <w:rsid w:val="005935C9"/>
    <w:rsid w:val="005A7ADF"/>
    <w:rsid w:val="007068FB"/>
    <w:rsid w:val="008250BC"/>
    <w:rsid w:val="009A187A"/>
    <w:rsid w:val="00CC7D2A"/>
    <w:rsid w:val="00DE2ADE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D5B6"/>
  <w15:docId w15:val="{BEBB9B40-C37E-40AE-B4D8-D103619D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Standard"/>
    <w:next w:val="a1"/>
    <w:uiPriority w:val="9"/>
    <w:qFormat/>
    <w:pPr>
      <w:keepNext/>
      <w:spacing w:before="120" w:after="120" w:line="600" w:lineRule="atLeast"/>
      <w:ind w:left="1304" w:hanging="1304"/>
      <w:outlineLvl w:val="0"/>
    </w:pPr>
    <w:rPr>
      <w:rFonts w:ascii="Arial" w:eastAsia="華康中楷體, 新細明體" w:hAnsi="Arial" w:cs="Arial"/>
      <w:spacing w:val="20"/>
      <w:sz w:val="40"/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120" w:after="120" w:line="280" w:lineRule="atLeast"/>
      <w:ind w:left="2552"/>
      <w:outlineLvl w:val="1"/>
    </w:pPr>
    <w:rPr>
      <w:rFonts w:ascii="Arial" w:eastAsia="華康中楷體, 新細明體" w:hAnsi="Arial" w:cs="Arial"/>
      <w:spacing w:val="20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300" w:lineRule="atLeast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22"/>
      <w:szCs w:val="20"/>
    </w:rPr>
  </w:style>
  <w:style w:type="paragraph" w:customStyle="1" w:styleId="a7">
    <w:name w:val="公文(後續段落)"/>
    <w:pPr>
      <w:widowControl/>
      <w:suppressAutoHyphens/>
      <w:snapToGrid w:val="0"/>
      <w:spacing w:line="578" w:lineRule="exact"/>
      <w:ind w:left="340"/>
    </w:pPr>
    <w:rPr>
      <w:rFonts w:ascii="Times New Roman" w:eastAsia="標楷體" w:hAnsi="Times New Roman" w:cs="Times New Roman"/>
      <w:sz w:val="34"/>
      <w:szCs w:val="20"/>
      <w:lang w:bidi="ar-SA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1">
    <w:name w:val="文號"/>
    <w:basedOn w:val="Standard"/>
    <w:next w:val="Standard"/>
    <w:pPr>
      <w:spacing w:after="120" w:line="240" w:lineRule="atLeast"/>
      <w:ind w:left="4366" w:hanging="227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18"/>
      <w:szCs w:val="20"/>
    </w:rPr>
  </w:style>
  <w:style w:type="paragraph" w:customStyle="1" w:styleId="ab">
    <w:name w:val="法條的款"/>
    <w:basedOn w:val="Standard"/>
    <w:pPr>
      <w:spacing w:line="300" w:lineRule="atLeast"/>
      <w:ind w:left="2324" w:hanging="510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22"/>
      <w:szCs w:val="20"/>
    </w:rPr>
  </w:style>
  <w:style w:type="paragraph" w:customStyle="1" w:styleId="ac">
    <w:name w:val="前項的內文"/>
    <w:basedOn w:val="Standard"/>
    <w:pPr>
      <w:spacing w:line="300" w:lineRule="atLeast"/>
      <w:ind w:left="1304" w:firstLine="510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22"/>
      <w:szCs w:val="20"/>
    </w:rPr>
  </w:style>
  <w:style w:type="paragraph" w:customStyle="1" w:styleId="ad">
    <w:name w:val="內文法規"/>
    <w:basedOn w:val="Standard"/>
    <w:pPr>
      <w:spacing w:line="300" w:lineRule="atLeast"/>
      <w:ind w:left="1304" w:hanging="1304"/>
      <w:jc w:val="both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22"/>
      <w:szCs w:val="20"/>
    </w:rPr>
  </w:style>
  <w:style w:type="paragraph" w:customStyle="1" w:styleId="ae">
    <w:name w:val="流程圖"/>
    <w:basedOn w:val="Standard"/>
    <w:pPr>
      <w:jc w:val="center"/>
    </w:pPr>
    <w:rPr>
      <w:rFonts w:eastAsia="華康中楷體, 新細明體"/>
      <w:kern w:val="0"/>
      <w:szCs w:val="20"/>
    </w:rPr>
  </w:style>
  <w:style w:type="paragraph" w:styleId="20">
    <w:name w:val="Body Text Indent 2"/>
    <w:basedOn w:val="Standard"/>
    <w:pPr>
      <w:spacing w:line="320" w:lineRule="exact"/>
      <w:ind w:firstLine="511"/>
      <w:jc w:val="both"/>
    </w:pPr>
    <w:rPr>
      <w:rFonts w:ascii="標楷體" w:eastAsia="標楷體" w:hAnsi="標楷體" w:cs="標楷體"/>
      <w:szCs w:val="20"/>
    </w:rPr>
  </w:style>
  <w:style w:type="paragraph" w:styleId="3">
    <w:name w:val="Body Text Indent 3"/>
    <w:basedOn w:val="Standard"/>
    <w:pPr>
      <w:spacing w:line="320" w:lineRule="exact"/>
      <w:ind w:left="1052" w:hanging="1"/>
      <w:jc w:val="both"/>
    </w:pPr>
    <w:rPr>
      <w:rFonts w:ascii="標楷體" w:eastAsia="標楷體" w:hAnsi="標楷體" w:cs="標楷體"/>
      <w:szCs w:val="20"/>
    </w:rPr>
  </w:style>
  <w:style w:type="paragraph" w:customStyle="1" w:styleId="af">
    <w:name w:val="內文要點"/>
    <w:basedOn w:val="Standard"/>
    <w:pPr>
      <w:spacing w:line="300" w:lineRule="atLeast"/>
      <w:ind w:left="510" w:hanging="510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22"/>
      <w:szCs w:val="20"/>
    </w:rPr>
  </w:style>
  <w:style w:type="paragraph" w:customStyle="1" w:styleId="af0">
    <w:name w:val="內文"/>
    <w:basedOn w:val="Standard"/>
    <w:pPr>
      <w:spacing w:line="300" w:lineRule="atLeast"/>
      <w:ind w:left="511" w:hanging="284"/>
      <w:jc w:val="both"/>
    </w:pPr>
    <w:rPr>
      <w:rFonts w:ascii="標楷體" w:eastAsia="標楷體" w:hAnsi="標楷體" w:cs="標楷體"/>
      <w:spacing w:val="20"/>
      <w:kern w:val="0"/>
      <w:szCs w:val="20"/>
    </w:rPr>
  </w:style>
  <w:style w:type="paragraph" w:customStyle="1" w:styleId="af1">
    <w:name w:val="內文"/>
    <w:basedOn w:val="Standard"/>
    <w:pPr>
      <w:spacing w:line="300" w:lineRule="atLeast"/>
      <w:ind w:left="1078" w:hanging="284"/>
    </w:pPr>
    <w:rPr>
      <w:rFonts w:ascii="華康中明體, 新細明體" w:eastAsia="華康中明體, 新細明體" w:hAnsi="華康中明體, 新細明體" w:cs="華康中明體, 新細明體"/>
      <w:spacing w:val="20"/>
      <w:kern w:val="0"/>
      <w:sz w:val="22"/>
      <w:szCs w:val="20"/>
    </w:rPr>
  </w:style>
  <w:style w:type="paragraph" w:customStyle="1" w:styleId="af2">
    <w:name w:val="內文"/>
    <w:basedOn w:val="af1"/>
    <w:pPr>
      <w:ind w:left="1361"/>
    </w:pPr>
  </w:style>
  <w:style w:type="paragraph" w:customStyle="1" w:styleId="11Aa">
    <w:name w:val="1.1Aa.內容"/>
    <w:basedOn w:val="Standard"/>
    <w:pPr>
      <w:spacing w:before="60" w:after="40" w:line="440" w:lineRule="exact"/>
      <w:ind w:left="1361" w:right="-227" w:firstLine="640"/>
      <w:jc w:val="both"/>
    </w:pPr>
    <w:rPr>
      <w:rFonts w:eastAsia="華康中楷體, 新細明體"/>
      <w:spacing w:val="20"/>
      <w:kern w:val="0"/>
      <w:sz w:val="28"/>
      <w:szCs w:val="20"/>
    </w:rPr>
  </w:style>
  <w:style w:type="paragraph" w:customStyle="1" w:styleId="af3">
    <w:name w:val="法條的目"/>
    <w:basedOn w:val="ab"/>
    <w:pPr>
      <w:ind w:left="2325" w:hanging="284"/>
      <w:jc w:val="both"/>
    </w:pPr>
  </w:style>
  <w:style w:type="paragraph" w:customStyle="1" w:styleId="af4">
    <w:name w:val="(一)"/>
    <w:basedOn w:val="Standard"/>
    <w:pPr>
      <w:spacing w:after="120" w:line="480" w:lineRule="exact"/>
      <w:ind w:left="738" w:hanging="454"/>
      <w:jc w:val="both"/>
    </w:pPr>
    <w:rPr>
      <w:rFonts w:eastAsia="華康儷楷書"/>
      <w:szCs w:val="20"/>
    </w:rPr>
  </w:style>
  <w:style w:type="paragraph" w:customStyle="1" w:styleId="10">
    <w:name w:val="(1)"/>
    <w:basedOn w:val="af4"/>
    <w:pPr>
      <w:ind w:left="1720" w:hanging="960"/>
    </w:pPr>
  </w:style>
  <w:style w:type="paragraph" w:customStyle="1" w:styleId="11">
    <w:name w:val="(1)內容"/>
    <w:basedOn w:val="10"/>
    <w:pPr>
      <w:ind w:firstLine="0"/>
    </w:pPr>
  </w:style>
  <w:style w:type="paragraph" w:customStyle="1" w:styleId="af5">
    <w:name w:val="(一)內容"/>
    <w:basedOn w:val="Standard"/>
    <w:pPr>
      <w:spacing w:after="120" w:line="480" w:lineRule="exact"/>
      <w:ind w:left="278" w:firstLine="454"/>
      <w:jc w:val="both"/>
    </w:pPr>
    <w:rPr>
      <w:rFonts w:eastAsia="華康儷楷書"/>
      <w:szCs w:val="20"/>
    </w:rPr>
  </w:style>
  <w:style w:type="paragraph" w:customStyle="1" w:styleId="12">
    <w:name w:val="1."/>
    <w:basedOn w:val="af4"/>
    <w:pPr>
      <w:ind w:left="794" w:hanging="227"/>
    </w:pPr>
  </w:style>
  <w:style w:type="paragraph" w:customStyle="1" w:styleId="af6">
    <w:name w:val="壹"/>
    <w:basedOn w:val="Standard"/>
    <w:pPr>
      <w:spacing w:before="120" w:after="120" w:line="480" w:lineRule="exact"/>
      <w:jc w:val="both"/>
    </w:pPr>
    <w:rPr>
      <w:rFonts w:eastAsia="華康儷楷書"/>
      <w:b/>
      <w:szCs w:val="20"/>
    </w:rPr>
  </w:style>
  <w:style w:type="paragraph" w:customStyle="1" w:styleId="110">
    <w:name w:val="1.1"/>
    <w:basedOn w:val="af6"/>
    <w:pPr>
      <w:tabs>
        <w:tab w:val="left" w:pos="-2023"/>
      </w:tabs>
      <w:ind w:left="737" w:hanging="737"/>
    </w:pPr>
    <w:rPr>
      <w:sz w:val="32"/>
    </w:rPr>
  </w:style>
  <w:style w:type="paragraph" w:customStyle="1" w:styleId="111">
    <w:name w:val="1.1內容"/>
    <w:basedOn w:val="Standard"/>
    <w:pPr>
      <w:spacing w:after="120" w:line="480" w:lineRule="exact"/>
      <w:ind w:left="284" w:firstLine="454"/>
      <w:jc w:val="both"/>
    </w:pPr>
    <w:rPr>
      <w:rFonts w:eastAsia="華康儷楷書"/>
      <w:kern w:val="0"/>
      <w:szCs w:val="20"/>
    </w:rPr>
  </w:style>
  <w:style w:type="paragraph" w:customStyle="1" w:styleId="13">
    <w:name w:val="1.內容"/>
    <w:basedOn w:val="af4"/>
    <w:pPr>
      <w:ind w:left="794" w:firstLine="0"/>
    </w:pPr>
  </w:style>
  <w:style w:type="paragraph" w:customStyle="1" w:styleId="af7">
    <w:name w:val="一"/>
    <w:basedOn w:val="Standard"/>
    <w:pPr>
      <w:spacing w:after="120" w:line="480" w:lineRule="exact"/>
      <w:ind w:left="454" w:hanging="454"/>
      <w:jc w:val="both"/>
    </w:pPr>
    <w:rPr>
      <w:rFonts w:eastAsia="華康儷楷書"/>
      <w:szCs w:val="20"/>
    </w:rPr>
  </w:style>
  <w:style w:type="paragraph" w:customStyle="1" w:styleId="af8">
    <w:name w:val="一內容"/>
    <w:basedOn w:val="Standard"/>
    <w:pPr>
      <w:spacing w:after="120" w:line="480" w:lineRule="exact"/>
      <w:ind w:firstLine="454"/>
      <w:jc w:val="both"/>
    </w:pPr>
    <w:rPr>
      <w:rFonts w:eastAsia="華康儷楷書"/>
      <w:szCs w:val="20"/>
    </w:rPr>
  </w:style>
  <w:style w:type="paragraph" w:customStyle="1" w:styleId="af9">
    <w:name w:val="表頭"/>
    <w:basedOn w:val="Standard"/>
    <w:pPr>
      <w:spacing w:before="120"/>
      <w:ind w:right="-816"/>
      <w:jc w:val="center"/>
    </w:pPr>
    <w:rPr>
      <w:rFonts w:ascii="華康特粗黑體" w:eastAsia="華康特粗黑體" w:hAnsi="華康特粗黑體" w:cs="華康特粗黑體"/>
      <w:spacing w:val="20"/>
      <w:kern w:val="0"/>
      <w:sz w:val="28"/>
      <w:szCs w:val="20"/>
    </w:rPr>
  </w:style>
  <w:style w:type="paragraph" w:customStyle="1" w:styleId="afa">
    <w:name w:val="第一章"/>
    <w:basedOn w:val="Standard"/>
    <w:pPr>
      <w:spacing w:before="240" w:after="240" w:line="480" w:lineRule="exact"/>
      <w:jc w:val="center"/>
    </w:pPr>
    <w:rPr>
      <w:rFonts w:eastAsia="華康隸書體"/>
      <w:b/>
      <w:sz w:val="40"/>
      <w:szCs w:val="20"/>
    </w:rPr>
  </w:style>
  <w:style w:type="paragraph" w:customStyle="1" w:styleId="afb">
    <w:name w:val="章內容"/>
    <w:basedOn w:val="Standard"/>
    <w:pPr>
      <w:spacing w:after="120" w:line="480" w:lineRule="exact"/>
      <w:ind w:firstLine="454"/>
      <w:jc w:val="both"/>
    </w:pPr>
    <w:rPr>
      <w:rFonts w:eastAsia="華康儷楷書"/>
      <w:szCs w:val="20"/>
    </w:rPr>
  </w:style>
  <w:style w:type="paragraph" w:customStyle="1" w:styleId="afc">
    <w:name w:val="壹內容"/>
    <w:basedOn w:val="Standard"/>
    <w:pPr>
      <w:spacing w:after="120" w:line="480" w:lineRule="exact"/>
      <w:ind w:firstLine="454"/>
      <w:jc w:val="both"/>
    </w:pPr>
    <w:rPr>
      <w:rFonts w:eastAsia="華康儷楷書"/>
      <w:szCs w:val="20"/>
    </w:rPr>
  </w:style>
  <w:style w:type="paragraph" w:customStyle="1" w:styleId="afd">
    <w:name w:val="圖表"/>
    <w:basedOn w:val="Standard"/>
    <w:pPr>
      <w:spacing w:after="120" w:line="480" w:lineRule="exact"/>
      <w:jc w:val="center"/>
    </w:pPr>
    <w:rPr>
      <w:rFonts w:eastAsia="華康儷楷書"/>
      <w:b/>
      <w:kern w:val="0"/>
      <w:szCs w:val="20"/>
    </w:rPr>
  </w:style>
  <w:style w:type="paragraph" w:customStyle="1" w:styleId="911Aa">
    <w:name w:val="9層:1.1Aa."/>
    <w:basedOn w:val="Standard"/>
    <w:pPr>
      <w:spacing w:before="60" w:after="40" w:line="400" w:lineRule="exact"/>
      <w:ind w:left="1139" w:right="-227" w:hanging="198"/>
      <w:jc w:val="both"/>
    </w:pPr>
    <w:rPr>
      <w:rFonts w:ascii="華康中楷體, 新細明體" w:eastAsia="華康中楷體, 新細明體" w:hAnsi="華康中楷體, 新細明體" w:cs="華康中楷體, 新細明體"/>
      <w:spacing w:val="20"/>
      <w:kern w:val="0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21">
    <w:name w:val="Body Text 2"/>
    <w:basedOn w:val="Standard"/>
    <w:pPr>
      <w:spacing w:line="320" w:lineRule="exact"/>
      <w:jc w:val="both"/>
    </w:pPr>
    <w:rPr>
      <w:rFonts w:ascii="標楷體" w:eastAsia="標楷體" w:hAnsi="標楷體" w:cs="標楷體"/>
      <w:color w:val="FF0000"/>
      <w:szCs w:val="20"/>
      <w:u w:val="single"/>
    </w:rPr>
  </w:style>
  <w:style w:type="paragraph" w:styleId="30">
    <w:name w:val="Body Text 3"/>
    <w:basedOn w:val="Standard"/>
    <w:pPr>
      <w:spacing w:line="320" w:lineRule="exact"/>
      <w:jc w:val="both"/>
    </w:pPr>
    <w:rPr>
      <w:rFonts w:ascii="標楷體" w:eastAsia="標楷體" w:hAnsi="標楷體" w:cs="標楷體"/>
      <w:color w:val="000000"/>
      <w:szCs w:val="20"/>
    </w:rPr>
  </w:style>
  <w:style w:type="paragraph" w:styleId="afe">
    <w:name w:val="Block Text"/>
    <w:basedOn w:val="Standard"/>
    <w:pPr>
      <w:ind w:left="720" w:right="-22" w:hanging="480"/>
    </w:pPr>
    <w:rPr>
      <w:rFonts w:eastAsia="標楷體"/>
      <w:color w:val="008000"/>
    </w:rPr>
  </w:style>
  <w:style w:type="paragraph" w:customStyle="1" w:styleId="22">
    <w:name w:val="項次2"/>
    <w:basedOn w:val="Standard"/>
    <w:pPr>
      <w:ind w:left="840" w:firstLine="599"/>
      <w:jc w:val="both"/>
    </w:pPr>
    <w:rPr>
      <w:rFonts w:ascii="華康標楷體W5, 新細明體" w:eastAsia="華康標楷體W5, 新細明體" w:hAnsi="華康標楷體W5, 新細明體" w:cs="華康標楷體W5, 新細明體"/>
      <w:sz w:val="28"/>
      <w:szCs w:val="2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Endnote">
    <w:name w:val="Endnote"/>
    <w:basedOn w:val="Standard"/>
    <w:pPr>
      <w:snapToGrid w:val="0"/>
    </w:pPr>
    <w:rPr>
      <w:szCs w:val="20"/>
    </w:rPr>
  </w:style>
  <w:style w:type="paragraph" w:styleId="aff">
    <w:name w:val="annotation text"/>
    <w:basedOn w:val="Standard"/>
  </w:style>
  <w:style w:type="paragraph" w:customStyle="1" w:styleId="a">
    <w:name w:val="條"/>
    <w:basedOn w:val="Standard"/>
    <w:pPr>
      <w:numPr>
        <w:numId w:val="6"/>
      </w:numPr>
      <w:snapToGrid w:val="0"/>
      <w:spacing w:line="420" w:lineRule="atLeast"/>
    </w:pPr>
    <w:rPr>
      <w:rFonts w:ascii="標楷體" w:eastAsia="標楷體" w:hAnsi="標楷體" w:cs="標楷體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Palatino Linotype"/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8"/>
      <w:u w:val="none"/>
      <w:vertAlign w:val="baseline"/>
      <w:em w:val="none"/>
    </w:rPr>
  </w:style>
  <w:style w:type="character" w:customStyle="1" w:styleId="WW8Num6z1">
    <w:name w:val="WW8Num6z1"/>
    <w:rPr>
      <w:b w:val="0"/>
      <w:i w:val="0"/>
      <w:caps w:val="0"/>
      <w:smallCaps w:val="0"/>
      <w:strike w:val="0"/>
      <w:dstrike w:val="0"/>
      <w:outline w:val="0"/>
      <w:vanish w:val="0"/>
      <w:color w:val="000000"/>
      <w:position w:val="0"/>
      <w:sz w:val="28"/>
      <w:u w:val="none"/>
      <w:vertAlign w:val="baseline"/>
      <w:em w:val="none"/>
    </w:rPr>
  </w:style>
  <w:style w:type="character" w:customStyle="1" w:styleId="WW8Num6z2">
    <w:name w:val="WW8Num6z2"/>
    <w:rPr>
      <w:rFonts w:cs="Palatino Linotype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32"/>
      <w:szCs w:val="32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0"/>
      <w:szCs w:val="20"/>
      <w:u w:val="singl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aff0">
    <w:name w:val="頁首 字元"/>
    <w:rPr>
      <w:kern w:val="3"/>
    </w:rPr>
  </w:style>
  <w:style w:type="character" w:customStyle="1" w:styleId="aff1">
    <w:name w:val="頁尾 字元"/>
    <w:rPr>
      <w:kern w:val="3"/>
    </w:rPr>
  </w:style>
  <w:style w:type="character" w:customStyle="1" w:styleId="14">
    <w:name w:val="標題 1 字元"/>
    <w:rPr>
      <w:rFonts w:ascii="Arial" w:eastAsia="華康中楷體, 新細明體" w:hAnsi="Arial" w:cs="Arial"/>
      <w:spacing w:val="20"/>
      <w:kern w:val="3"/>
      <w:sz w:val="40"/>
    </w:rPr>
  </w:style>
  <w:style w:type="character" w:customStyle="1" w:styleId="23">
    <w:name w:val="標題 2 字元"/>
    <w:rPr>
      <w:rFonts w:ascii="Arial" w:eastAsia="華康中楷體, 新細明體" w:hAnsi="Arial" w:cs="Arial"/>
      <w:spacing w:val="20"/>
      <w:sz w:val="28"/>
    </w:rPr>
  </w:style>
  <w:style w:type="character" w:styleId="aff2">
    <w:name w:val="page number"/>
    <w:basedOn w:val="a2"/>
  </w:style>
  <w:style w:type="character" w:customStyle="1" w:styleId="24">
    <w:name w:val="本文縮排 2 字元"/>
    <w:rPr>
      <w:rFonts w:ascii="標楷體" w:eastAsia="標楷體" w:hAnsi="標楷體" w:cs="標楷體"/>
      <w:kern w:val="3"/>
      <w:sz w:val="24"/>
    </w:rPr>
  </w:style>
  <w:style w:type="character" w:customStyle="1" w:styleId="31">
    <w:name w:val="本文縮排 3 字元"/>
    <w:rPr>
      <w:rFonts w:ascii="標楷體" w:eastAsia="標楷體" w:hAnsi="標楷體" w:cs="標楷體"/>
      <w:kern w:val="3"/>
      <w:sz w:val="24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color w:val="000000"/>
    </w:rPr>
  </w:style>
  <w:style w:type="character" w:customStyle="1" w:styleId="25">
    <w:name w:val="本文 2 字元"/>
    <w:rPr>
      <w:rFonts w:ascii="標楷體" w:eastAsia="標楷體" w:hAnsi="標楷體" w:cs="標楷體"/>
      <w:color w:val="FF0000"/>
      <w:kern w:val="3"/>
      <w:sz w:val="24"/>
      <w:u w:val="single"/>
    </w:rPr>
  </w:style>
  <w:style w:type="character" w:customStyle="1" w:styleId="32">
    <w:name w:val="本文 3 字元"/>
    <w:rPr>
      <w:rFonts w:ascii="標楷體" w:eastAsia="標楷體" w:hAnsi="標楷體" w:cs="標楷體"/>
      <w:color w:val="000000"/>
      <w:kern w:val="3"/>
      <w:sz w:val="24"/>
    </w:rPr>
  </w:style>
  <w:style w:type="character" w:customStyle="1" w:styleId="aff3">
    <w:name w:val="註腳文字 字元"/>
    <w:rPr>
      <w:kern w:val="3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f4">
    <w:name w:val="章節附註文字 字元"/>
    <w:rPr>
      <w:kern w:val="3"/>
      <w:sz w:val="24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ff5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styleId="aff6">
    <w:name w:val="Emphasis"/>
    <w:rPr>
      <w:b w:val="0"/>
      <w:bCs w:val="0"/>
      <w:i w:val="0"/>
      <w:iCs w:val="0"/>
      <w:color w:val="DD4B39"/>
    </w:rPr>
  </w:style>
  <w:style w:type="character" w:customStyle="1" w:styleId="Internetlink">
    <w:name w:val="Internet link"/>
    <w:rPr>
      <w:strike w:val="0"/>
      <w:dstrike w:val="0"/>
      <w:color w:val="000000"/>
      <w:u w:val="none"/>
    </w:rPr>
  </w:style>
  <w:style w:type="character" w:customStyle="1" w:styleId="aff7">
    <w:name w:val="註解文字 字元"/>
    <w:rPr>
      <w:kern w:val="3"/>
      <w:sz w:val="24"/>
      <w:szCs w:val="24"/>
    </w:rPr>
  </w:style>
  <w:style w:type="paragraph" w:customStyle="1" w:styleId="-1">
    <w:name w:val="內文-1"/>
    <w:basedOn w:val="a0"/>
    <w:pPr>
      <w:suppressAutoHyphens w:val="0"/>
      <w:spacing w:before="180" w:after="180"/>
      <w:jc w:val="both"/>
      <w:textAlignment w:val="auto"/>
    </w:pPr>
    <w:rPr>
      <w:rFonts w:ascii="標楷體" w:eastAsia="標楷體" w:hAnsi="標楷體" w:cs="Arial"/>
      <w:sz w:val="27"/>
      <w:szCs w:val="26"/>
      <w:lang w:eastAsia="zh-TW" w:bidi="ar-SA"/>
    </w:rPr>
  </w:style>
  <w:style w:type="paragraph" w:styleId="aff8">
    <w:name w:val="List Paragraph"/>
    <w:basedOn w:val="a0"/>
    <w:pPr>
      <w:ind w:left="480"/>
    </w:pPr>
    <w:rPr>
      <w:rFonts w:cs="Mangal"/>
      <w:szCs w:val="21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  <w:style w:type="numbering" w:customStyle="1" w:styleId="WW8Num14">
    <w:name w:val="WW8Num14"/>
    <w:basedOn w:val="a4"/>
    <w:pPr>
      <w:numPr>
        <w:numId w:val="14"/>
      </w:numPr>
    </w:pPr>
  </w:style>
  <w:style w:type="numbering" w:customStyle="1" w:styleId="WW8Num15">
    <w:name w:val="WW8Num15"/>
    <w:basedOn w:val="a4"/>
    <w:pPr>
      <w:numPr>
        <w:numId w:val="15"/>
      </w:numPr>
    </w:pPr>
  </w:style>
  <w:style w:type="numbering" w:customStyle="1" w:styleId="WW8Num16">
    <w:name w:val="WW8Num16"/>
    <w:basedOn w:val="a4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560</Words>
  <Characters>3198</Characters>
  <Application>Microsoft Office Word</Application>
  <DocSecurity>0</DocSecurity>
  <Lines>26</Lines>
  <Paragraphs>7</Paragraphs>
  <ScaleCrop>false</ScaleCrop>
  <Company>交通部觀光局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提案單位：水保處</dc:title>
  <dc:creator>epa</dc:creator>
  <cp:lastModifiedBy>蘇明卉</cp:lastModifiedBy>
  <cp:revision>12</cp:revision>
  <cp:lastPrinted>2017-12-26T14:28:00Z</cp:lastPrinted>
  <dcterms:created xsi:type="dcterms:W3CDTF">2023-03-24T07:14:00Z</dcterms:created>
  <dcterms:modified xsi:type="dcterms:W3CDTF">2023-03-24T10:38:00Z</dcterms:modified>
</cp:coreProperties>
</file>